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77DB" w14:textId="77777777" w:rsidR="00BA60A1" w:rsidRDefault="00740689">
      <w:pPr>
        <w:spacing w:after="200"/>
        <w:jc w:val="center"/>
        <w:rPr>
          <w:b/>
          <w:bCs/>
          <w:color w:val="1F4E79"/>
          <w:sz w:val="28"/>
          <w:szCs w:val="28"/>
        </w:rPr>
      </w:pPr>
      <w:r>
        <w:rPr>
          <w:b/>
          <w:bCs/>
          <w:color w:val="1F4E79"/>
          <w:sz w:val="28"/>
          <w:szCs w:val="28"/>
        </w:rPr>
        <w:t>Proposition de loi visant à lutter contre les déserts médicaux</w:t>
      </w:r>
    </w:p>
    <w:p w14:paraId="5D46E41C" w14:textId="3AA42A98" w:rsidR="0062612F" w:rsidRDefault="0062612F">
      <w:pPr>
        <w:spacing w:after="200"/>
        <w:jc w:val="center"/>
      </w:pPr>
      <w:r>
        <w:rPr>
          <w:b/>
          <w:bCs/>
          <w:color w:val="1F4E79"/>
          <w:sz w:val="28"/>
          <w:szCs w:val="28"/>
        </w:rPr>
        <w:t>PPL GAROT</w:t>
      </w:r>
    </w:p>
    <w:p w14:paraId="5BF3C341" w14:textId="77777777" w:rsidR="0062612F" w:rsidRDefault="00740689" w:rsidP="0062612F">
      <w:pPr>
        <w:spacing w:after="60"/>
        <w:jc w:val="center"/>
        <w:rPr>
          <w:color w:val="595959"/>
        </w:rPr>
      </w:pPr>
      <w:r>
        <w:rPr>
          <w:color w:val="595959"/>
        </w:rPr>
        <w:t xml:space="preserve">Tableau comparatif : texte transmis par l'Assemblée nationale ( texte de la commission des affaires sociales du Sénat </w:t>
      </w:r>
    </w:p>
    <w:p w14:paraId="4C58BD6B" w14:textId="3196896D" w:rsidR="00BA60A1" w:rsidRDefault="00BA60A1" w:rsidP="0062612F">
      <w:pPr>
        <w:spacing w:after="60"/>
        <w:jc w:val="center"/>
      </w:pP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7249"/>
        <w:gridCol w:w="7249"/>
      </w:tblGrid>
      <w:tr w:rsidR="00BA60A1" w14:paraId="242F5868" w14:textId="77777777">
        <w:trPr>
          <w:tblHeader/>
        </w:trPr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79275" w14:textId="77777777" w:rsidR="00BA60A1" w:rsidRDefault="00740689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Art.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6A4B27" w14:textId="7CE7D8C8" w:rsidR="00BA60A1" w:rsidRDefault="00740689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Texte transmis par l'Assemblée nationale 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D1D6F0" w14:textId="5BEC9016" w:rsidR="00BA60A1" w:rsidRDefault="00740689">
            <w:pPr>
              <w:spacing w:before="60"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Texte de la commission des affaires sociales du Sénat </w:t>
            </w:r>
          </w:p>
        </w:tc>
      </w:tr>
      <w:tr w:rsidR="00BA60A1" w14:paraId="21C65280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F4F7E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1er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97A14" w14:textId="1C3E4668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 xml:space="preserve">Régulation de l'installation </w:t>
            </w:r>
            <w:r w:rsidR="0062612F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autorisation préalable du DG ARS</w:t>
            </w:r>
          </w:p>
          <w:p w14:paraId="054D1AED" w14:textId="77777777" w:rsidR="00BA60A1" w:rsidRDefault="00740689">
            <w:pPr>
              <w:spacing w:before="40" w:after="40"/>
            </w:pPr>
            <w:r>
              <w:rPr>
                <w:color w:val="000000"/>
                <w:sz w:val="17"/>
                <w:szCs w:val="17"/>
              </w:rPr>
              <w:t>Création d'un article L. 4111-1-3 dans le code de la santé publique :</w:t>
            </w:r>
          </w:p>
          <w:p w14:paraId="7A0E9869" w14:textId="77777777" w:rsidR="00BA60A1" w:rsidRPr="0062612F" w:rsidRDefault="00740689">
            <w:pPr>
              <w:spacing w:before="20" w:after="20"/>
              <w:ind w:left="300" w:hanging="200"/>
              <w:rPr>
                <w:b/>
                <w:bCs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Tout médecin libéral ou salarié d'un centre de santé doit obtenir une </w:t>
            </w:r>
            <w:r w:rsidRPr="0062612F">
              <w:rPr>
                <w:b/>
                <w:bCs/>
                <w:color w:val="000000"/>
                <w:sz w:val="17"/>
                <w:szCs w:val="17"/>
              </w:rPr>
              <w:t>autorisation préalable du DG ARS pour s'installer.</w:t>
            </w:r>
          </w:p>
          <w:p w14:paraId="1CF9FBB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L'autorisation est délivrée de droit si le lieu est en zone sous-dense (1° art. L. 1434-4) ou si un médecin de la même spécialité cesse concomitamment son activité dans la même zone.</w:t>
            </w:r>
          </w:p>
          <w:p w14:paraId="3D397F68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Dans tous les autres cas (zones bien dotées), l'autorisation ne peut être délivrée : installation interdite sauf remplacement.</w:t>
            </w:r>
          </w:p>
          <w:p w14:paraId="61D984E8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Décret en Conseil d'État après avis du CNOM et consultation des étudiants, usagers et élus locaux.</w:t>
            </w:r>
          </w:p>
          <w:p w14:paraId="70CCA719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Entrée en vigueur : au plus tard 1 an après promulgation.</w:t>
            </w:r>
          </w:p>
          <w:p w14:paraId="76335CB8" w14:textId="1D608B90" w:rsidR="00BA60A1" w:rsidRDefault="00BA60A1">
            <w:pPr>
              <w:spacing w:before="30" w:after="30"/>
            </w:pP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8FB9A" w14:textId="4B2646D7" w:rsidR="00BA60A1" w:rsidRDefault="00740689">
            <w:pPr>
              <w:spacing w:before="40" w:after="40"/>
            </w:pPr>
            <w:r>
              <w:rPr>
                <w:b/>
                <w:bCs/>
                <w:color w:val="7F6000"/>
              </w:rPr>
              <w:t xml:space="preserve">Réécriture complète </w:t>
            </w:r>
            <w:r w:rsidR="0062612F">
              <w:rPr>
                <w:b/>
                <w:bCs/>
                <w:color w:val="7F6000"/>
              </w:rPr>
              <w:t xml:space="preserve">- </w:t>
            </w:r>
            <w:r>
              <w:rPr>
                <w:b/>
                <w:bCs/>
                <w:color w:val="7F6000"/>
              </w:rPr>
              <w:t>amendement COM-1 adopté</w:t>
            </w:r>
          </w:p>
          <w:p w14:paraId="5B59070E" w14:textId="77777777" w:rsidR="00BA60A1" w:rsidRDefault="00740689">
            <w:pPr>
              <w:spacing w:before="40" w:after="40"/>
            </w:pPr>
            <w:r>
              <w:rPr>
                <w:color w:val="000000"/>
                <w:sz w:val="17"/>
                <w:szCs w:val="17"/>
              </w:rPr>
              <w:t>Conditionnalité souple de l'installation en zone sur-dense :</w:t>
            </w:r>
          </w:p>
          <w:p w14:paraId="01708233" w14:textId="2669E8C1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Art. L. 4131-8 </w:t>
            </w:r>
            <w:r w:rsidR="0062612F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Médecins généralistes</w:t>
            </w:r>
          </w:p>
          <w:p w14:paraId="543F9766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L'installation en zone particulièrement bien dotée (2° art. L. 1434-4) est soumise à </w:t>
            </w:r>
            <w:r w:rsidRPr="0062612F">
              <w:rPr>
                <w:b/>
                <w:bCs/>
                <w:color w:val="000000"/>
                <w:sz w:val="17"/>
                <w:szCs w:val="17"/>
              </w:rPr>
              <w:t>autorisation préalable du DG ARS</w:t>
            </w:r>
            <w:r>
              <w:rPr>
                <w:color w:val="000000"/>
                <w:sz w:val="17"/>
                <w:szCs w:val="17"/>
              </w:rPr>
              <w:t xml:space="preserve"> après avis du conseil départemental de l'ordre.</w:t>
            </w:r>
          </w:p>
          <w:p w14:paraId="269FF8BA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L'autorisation est conditionnée à un </w:t>
            </w:r>
            <w:r w:rsidRPr="0062612F">
              <w:rPr>
                <w:b/>
                <w:bCs/>
                <w:color w:val="000000"/>
                <w:sz w:val="17"/>
                <w:szCs w:val="17"/>
              </w:rPr>
              <w:t>engagement du médecin d'exercer à temps partiel dans une zone sous-dense</w:t>
            </w:r>
            <w:r>
              <w:rPr>
                <w:color w:val="000000"/>
                <w:sz w:val="17"/>
                <w:szCs w:val="17"/>
              </w:rPr>
              <w:t>. Retrait possible si méconnaissance de l'engagement.</w:t>
            </w:r>
          </w:p>
          <w:p w14:paraId="6215C040" w14:textId="1AAFA1FC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Art. L. 4131-9 </w:t>
            </w:r>
            <w:r w:rsidR="0062612F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Spécialistes hors médecine générale</w:t>
            </w:r>
          </w:p>
          <w:p w14:paraId="777D386E" w14:textId="77777777" w:rsidR="00BA60A1" w:rsidRPr="0062612F" w:rsidRDefault="00740689">
            <w:pPr>
              <w:spacing w:before="20" w:after="20"/>
              <w:ind w:left="300" w:hanging="200"/>
              <w:rPr>
                <w:b/>
                <w:bCs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Même logique, mais l'autorisation est en outre conditionnée à la </w:t>
            </w:r>
            <w:r w:rsidRPr="0062612F">
              <w:rPr>
                <w:b/>
                <w:bCs/>
                <w:color w:val="000000"/>
                <w:sz w:val="17"/>
                <w:szCs w:val="17"/>
              </w:rPr>
              <w:t>cessation concomitante d'un confrère de la même spécialité dans la même zone.</w:t>
            </w:r>
          </w:p>
          <w:p w14:paraId="19EAC45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Exception : le spécialiste peut être autorisé s'il s'engage à exercer à temps partiel en zone sous-dense, ou à titre exceptionnel sur décision motivée du DG ARS.</w:t>
            </w:r>
          </w:p>
          <w:p w14:paraId="5E7B9C37" w14:textId="77777777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>Modifications connexes</w:t>
            </w:r>
          </w:p>
          <w:p w14:paraId="4724DCEC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Modification de L. 4112-1 : déclaration préalable pour les cabinets secondaires (délai réduit de 2 mois à 6 semaines) ; motifs de refus limités à la qualité et sécurité des soins pour les médecins sous engagement.</w:t>
            </w:r>
          </w:p>
          <w:p w14:paraId="6C3C15A2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Modification de L. 1434-3 et L. 1434-4 : prise en compte des spécificités de chaque spécialité médicale pour la détermination des zones par le DG ARS.</w:t>
            </w:r>
          </w:p>
          <w:p w14:paraId="5816E82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Ajout dans le code de la sécurité sociale (28° de L. 162-5) : participation financière de l'assurance maladie aux frais engagés par les médecins pour respecter l'engagement.</w:t>
            </w:r>
          </w:p>
          <w:p w14:paraId="01D412A2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Décrets en Conseil d'État après avis du CNOM pour le nombre minimum d'actes et les modalités de contrôle.</w:t>
            </w:r>
          </w:p>
          <w:p w14:paraId="62C10414" w14:textId="376D74BD" w:rsidR="00BA60A1" w:rsidRDefault="00740689" w:rsidP="0062612F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Entrée en vigueur : date fixée par décret, au plus tard 1 an après promulgation.</w:t>
            </w:r>
          </w:p>
        </w:tc>
      </w:tr>
      <w:tr w:rsidR="00BA60A1" w14:paraId="083265A7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7CD2B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1er bis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6CE33" w14:textId="6C279F7F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 xml:space="preserve">Indicateur territorial de l'offre de soins </w:t>
            </w:r>
          </w:p>
          <w:p w14:paraId="2A0163BA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Création d'un </w:t>
            </w:r>
            <w:r w:rsidRPr="00EF3669">
              <w:rPr>
                <w:b/>
                <w:bCs/>
                <w:color w:val="000000"/>
                <w:sz w:val="17"/>
                <w:szCs w:val="17"/>
              </w:rPr>
              <w:t>indicateur territorial par spécialité</w:t>
            </w:r>
            <w:r>
              <w:rPr>
                <w:color w:val="000000"/>
                <w:sz w:val="17"/>
                <w:szCs w:val="17"/>
              </w:rPr>
              <w:t>, commune et territoire de santé, élaboré chaque année par l'ARS (nouvel al. II de L. 1411-11).</w:t>
            </w:r>
          </w:p>
          <w:p w14:paraId="125BB150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Sert de base à la détermination des zones (L. 1434-4), au projet régional de santé et aux décisions d'ouverture ou transfert de cabinets libéraux.</w:t>
            </w:r>
          </w:p>
          <w:p w14:paraId="62ADFC43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Décret fixant un niveau minimal d'offre de soins par spécialité, après avis de la HAS.</w:t>
            </w:r>
          </w:p>
          <w:p w14:paraId="47B38B0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Mise à jour annuelle au plus tard le 31 mars de chaque année.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87815" w14:textId="5224E30F" w:rsidR="00BA60A1" w:rsidRDefault="00740689">
            <w:pPr>
              <w:spacing w:before="40" w:after="40"/>
            </w:pPr>
            <w:r>
              <w:rPr>
                <w:b/>
                <w:bCs/>
                <w:color w:val="C00000"/>
              </w:rPr>
              <w:t xml:space="preserve">Supprimé </w:t>
            </w:r>
            <w:r w:rsidR="00EF3669">
              <w:rPr>
                <w:b/>
                <w:bCs/>
                <w:color w:val="C00000"/>
              </w:rPr>
              <w:t>-</w:t>
            </w:r>
            <w:r>
              <w:rPr>
                <w:b/>
                <w:bCs/>
                <w:color w:val="C00000"/>
              </w:rPr>
              <w:t xml:space="preserve"> amendement COM-2 adopté</w:t>
            </w:r>
          </w:p>
          <w:p w14:paraId="6A53ABD9" w14:textId="77777777" w:rsidR="00BA60A1" w:rsidRDefault="00740689">
            <w:pPr>
              <w:spacing w:before="40" w:after="40"/>
            </w:pPr>
            <w:r>
              <w:rPr>
                <w:color w:val="000000"/>
                <w:sz w:val="17"/>
                <w:szCs w:val="17"/>
              </w:rPr>
              <w:t>La commission supprime cet article.</w:t>
            </w:r>
          </w:p>
          <w:p w14:paraId="26F48517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La </w:t>
            </w:r>
            <w:proofErr w:type="spellStart"/>
            <w:r>
              <w:rPr>
                <w:color w:val="000000"/>
                <w:sz w:val="17"/>
                <w:szCs w:val="17"/>
              </w:rPr>
              <w:t>rapporteure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juge l'indicateur trop précis et trop rigide, ne laissant pas de souplesse à l'adaptation locale.</w:t>
            </w:r>
          </w:p>
          <w:p w14:paraId="0DA2945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L'indicateur d'accessibilité potentielle localisée (APL), en cours d'amélioration, est jugé suffisant.</w:t>
            </w:r>
          </w:p>
          <w:p w14:paraId="31222819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Fixer les modalités de détermination de l'indicateur dans la loi n'est pas considéré opportun.</w:t>
            </w:r>
          </w:p>
          <w:p w14:paraId="75A6EADE" w14:textId="77777777" w:rsidR="00BA60A1" w:rsidRDefault="00740689">
            <w:pPr>
              <w:spacing w:before="20" w:after="20"/>
              <w:ind w:left="300" w:hanging="200"/>
              <w:rPr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Le Sénat avait déjà privilégié une logique ascendante de concertation locale pour la détermination des besoins en santé des territoires.</w:t>
            </w:r>
          </w:p>
          <w:p w14:paraId="14932DD6" w14:textId="77777777" w:rsidR="0038071D" w:rsidRDefault="0038071D">
            <w:pPr>
              <w:spacing w:before="20" w:after="20"/>
              <w:ind w:left="300" w:hanging="200"/>
              <w:rPr>
                <w:color w:val="000000"/>
                <w:sz w:val="17"/>
                <w:szCs w:val="17"/>
              </w:rPr>
            </w:pPr>
          </w:p>
          <w:p w14:paraId="0669140A" w14:textId="77777777" w:rsidR="0062612F" w:rsidRDefault="0062612F">
            <w:pPr>
              <w:spacing w:before="20" w:after="20"/>
              <w:ind w:left="300" w:hanging="200"/>
            </w:pPr>
          </w:p>
        </w:tc>
      </w:tr>
      <w:tr w:rsidR="00BA60A1" w14:paraId="1137AD61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27CFB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lastRenderedPageBreak/>
              <w:t>Art. 2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15D56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>Médecin traitant — dispense de majoration du ticket modérateur</w:t>
            </w:r>
          </w:p>
          <w:p w14:paraId="67D66FE6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Nouveau cas d'exonération de la majoration du ticket modérateur (L. 162-5-3, 6°) : lorsque le patient atteste qu'aucun médecin n'accepte d'être son médecin traitant.</w:t>
            </w:r>
          </w:p>
          <w:p w14:paraId="288FCB95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La caisse d'assurance maladie transmet alors les coordonnées de l'organisation coordonnée territoriale et invite le patient à prendre contact avec elle.</w:t>
            </w:r>
          </w:p>
          <w:p w14:paraId="2F81E4BA" w14:textId="7FE18435" w:rsidR="00BA60A1" w:rsidRDefault="00BA60A1">
            <w:pPr>
              <w:spacing w:before="20" w:after="20"/>
              <w:ind w:left="300" w:hanging="200"/>
            </w:pP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3085FE" w14:textId="25C012E9" w:rsidR="00BA60A1" w:rsidRDefault="00740689">
            <w:pPr>
              <w:spacing w:before="40" w:after="40"/>
            </w:pPr>
            <w:r>
              <w:rPr>
                <w:b/>
                <w:bCs/>
                <w:color w:val="7F6000"/>
              </w:rPr>
              <w:t xml:space="preserve">Modifié </w:t>
            </w:r>
            <w:r w:rsidR="00EF3669">
              <w:rPr>
                <w:b/>
                <w:bCs/>
                <w:color w:val="7F6000"/>
              </w:rPr>
              <w:t>par</w:t>
            </w:r>
            <w:r>
              <w:rPr>
                <w:b/>
                <w:bCs/>
                <w:color w:val="7F6000"/>
              </w:rPr>
              <w:t xml:space="preserve"> amendements COM-3, COM-4, COM-5, COM-6 adoptés</w:t>
            </w:r>
          </w:p>
          <w:p w14:paraId="5191339E" w14:textId="712B4268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COM-3 </w:t>
            </w:r>
            <w:r w:rsidR="00EF3669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Coordination légistique</w:t>
            </w:r>
          </w:p>
          <w:p w14:paraId="4A762624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Ajout d'un renvoi à L. 161-36-4 (participation </w:t>
            </w:r>
            <w:proofErr w:type="spellStart"/>
            <w:r>
              <w:rPr>
                <w:color w:val="000000"/>
                <w:sz w:val="17"/>
                <w:szCs w:val="17"/>
              </w:rPr>
              <w:t>majorable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en application du sixième alinéa).</w:t>
            </w:r>
          </w:p>
          <w:p w14:paraId="31A20294" w14:textId="39BFDB2D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COM-4 </w:t>
            </w:r>
            <w:r w:rsidR="00EF3669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Élargissement et clarification</w:t>
            </w:r>
          </w:p>
          <w:p w14:paraId="2F49B6E4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Remplacement de « la caisse d'assurance maladie » par « l'organisme gestionnaire du régime de base d'assurance maladie » pour couvrir tous les régimes.</w:t>
            </w:r>
          </w:p>
          <w:p w14:paraId="39FA1B7A" w14:textId="77777777" w:rsidR="00BA60A1" w:rsidRPr="00EF3669" w:rsidRDefault="00740689">
            <w:pPr>
              <w:spacing w:before="20" w:after="20"/>
              <w:ind w:left="300" w:hanging="200"/>
              <w:rPr>
                <w:b/>
                <w:bCs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 w:rsidRPr="00EF3669">
              <w:rPr>
                <w:b/>
                <w:bCs/>
                <w:color w:val="000000"/>
                <w:sz w:val="17"/>
                <w:szCs w:val="17"/>
              </w:rPr>
              <w:t>Extension aux patients dont le médecin traitant a cessé son activité ou déménagé.</w:t>
            </w:r>
          </w:p>
          <w:p w14:paraId="4AFCD835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Pluralisation : « des organisations coordonnées territoriales » (au lieu du singulier).</w:t>
            </w:r>
          </w:p>
          <w:p w14:paraId="60FF4EA1" w14:textId="3A3C97CF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COM-5 </w:t>
            </w:r>
            <w:r w:rsidR="00EF3669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Mesure transitoire (nouveau 1° bis)</w:t>
            </w:r>
          </w:p>
          <w:p w14:paraId="3D786D7A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Le 6° de L. 162-5-3 est abrogé cinq ans après la promulgation : la mesure devient transitoire, non pérenne.</w:t>
            </w:r>
          </w:p>
          <w:p w14:paraId="500CA5E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La </w:t>
            </w:r>
            <w:proofErr w:type="spellStart"/>
            <w:r>
              <w:rPr>
                <w:color w:val="000000"/>
                <w:sz w:val="17"/>
                <w:szCs w:val="17"/>
              </w:rPr>
              <w:t>rapporteure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rappelle son attachement au parcours de soins coordonnés sur le long terme.</w:t>
            </w:r>
          </w:p>
          <w:p w14:paraId="10448A4C" w14:textId="1B680055" w:rsidR="00BA60A1" w:rsidRDefault="00740689">
            <w:pPr>
              <w:spacing w:before="60" w:after="30"/>
            </w:pPr>
            <w:r>
              <w:rPr>
                <w:b/>
                <w:bCs/>
                <w:color w:val="1F4E79"/>
              </w:rPr>
              <w:t xml:space="preserve">COM-6 </w:t>
            </w:r>
            <w:r w:rsidR="00EF3669">
              <w:rPr>
                <w:b/>
                <w:bCs/>
                <w:color w:val="1F4E79"/>
              </w:rPr>
              <w:t>-</w:t>
            </w:r>
            <w:r>
              <w:rPr>
                <w:b/>
                <w:bCs/>
                <w:color w:val="1F4E79"/>
              </w:rPr>
              <w:t xml:space="preserve"> Coordination L. 861-3</w:t>
            </w:r>
          </w:p>
          <w:p w14:paraId="307A4C1E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Ajout d'une coordination à l'article L. 861-3 du CSS (même renvoi au sixième alinéa).</w:t>
            </w:r>
          </w:p>
          <w:p w14:paraId="5EC6F1D0" w14:textId="77777777" w:rsidR="00BA60A1" w:rsidRDefault="00740689">
            <w:pPr>
              <w:spacing w:before="30" w:after="30"/>
            </w:pPr>
            <w:r>
              <w:rPr>
                <w:i/>
                <w:iCs/>
                <w:color w:val="595959"/>
                <w:sz w:val="16"/>
                <w:szCs w:val="16"/>
              </w:rPr>
              <w:t>La commission accepte la mesure mais en limite la durée à 5 ans, le temps que la démographie médicale s'améliore.</w:t>
            </w:r>
          </w:p>
        </w:tc>
      </w:tr>
      <w:tr w:rsidR="00BA60A1" w14:paraId="106C8B75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31C89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3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6A7363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>Déploiement territorial des études de santé</w:t>
            </w:r>
          </w:p>
          <w:p w14:paraId="38D9589C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Modification de L. 632-1 du code de l'éducation : la formation médicale doit garantir un accès de proximité sur l'ensemble du territoire national.</w:t>
            </w:r>
          </w:p>
          <w:p w14:paraId="052922A1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Obligation pour chaque UFR santé de proposer au moins la 1re année du 1er cycle (médecine, pharmacie, odontologie, maïeutique) dans chaque département.</w:t>
            </w:r>
          </w:p>
          <w:p w14:paraId="162238AF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Priorité aux zones sous-denses définies au 1° de L. 1434-4 du code de la santé publique.</w:t>
            </w:r>
          </w:p>
          <w:p w14:paraId="39E53BE9" w14:textId="77777777" w:rsidR="00BA60A1" w:rsidRDefault="00740689">
            <w:pPr>
              <w:spacing w:before="30" w:after="30"/>
            </w:pPr>
            <w:r>
              <w:rPr>
                <w:i/>
                <w:iCs/>
                <w:color w:val="595959"/>
                <w:sz w:val="16"/>
                <w:szCs w:val="16"/>
              </w:rPr>
              <w:t>II et III supprimés par l'Assemblée nationale avant transmission.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8252D" w14:textId="6F91906C" w:rsidR="00BA60A1" w:rsidRDefault="00740689">
            <w:pPr>
              <w:spacing w:before="40" w:after="40"/>
            </w:pPr>
            <w:r>
              <w:rPr>
                <w:b/>
                <w:bCs/>
                <w:color w:val="7F6000"/>
              </w:rPr>
              <w:t xml:space="preserve">Modifié </w:t>
            </w:r>
            <w:r w:rsidR="00EF3669">
              <w:rPr>
                <w:b/>
                <w:bCs/>
                <w:color w:val="7F6000"/>
              </w:rPr>
              <w:t>-</w:t>
            </w:r>
            <w:r>
              <w:rPr>
                <w:b/>
                <w:bCs/>
                <w:color w:val="7F6000"/>
              </w:rPr>
              <w:t xml:space="preserve"> amendement COM-7 adopté</w:t>
            </w:r>
          </w:p>
          <w:p w14:paraId="46F6E66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Le I (obligation de formation dans chaque département) est maintenu dans son intégralité sans modification.</w:t>
            </w:r>
          </w:p>
          <w:p w14:paraId="08F2841F" w14:textId="77777777" w:rsidR="00BA60A1" w:rsidRPr="00EF3669" w:rsidRDefault="00740689">
            <w:pPr>
              <w:spacing w:before="20" w:after="20"/>
              <w:ind w:left="300" w:hanging="200"/>
              <w:rPr>
                <w:b/>
                <w:bCs/>
              </w:rPr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 xml:space="preserve">Ajout d'un IV : le I entre en vigueur à une date fixée par décret en Conseil d'État, </w:t>
            </w:r>
            <w:r w:rsidRPr="00EF3669">
              <w:rPr>
                <w:b/>
                <w:bCs/>
                <w:color w:val="000000"/>
                <w:sz w:val="17"/>
                <w:szCs w:val="17"/>
              </w:rPr>
              <w:t>au plus tard le 1er septembre 2030 (contre entrée en vigueur immédiate dans le texte de l'AN).</w:t>
            </w:r>
          </w:p>
          <w:p w14:paraId="5AC3464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Objectif : laisser aux universités le temps de réunir les moyens humains et logistiques nécessaires pour garantir la qualité des formations délocalisées.</w:t>
            </w:r>
          </w:p>
        </w:tc>
      </w:tr>
      <w:tr w:rsidR="00BA60A1" w14:paraId="2D1D4CAD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EC3AC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4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571DB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>Télésanté — élargissement à Mon espace santé</w:t>
            </w:r>
          </w:p>
          <w:p w14:paraId="41BDA644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Modification de L. 1110-4-1 CSP : les médecins exerçant en totalité ou en partie à titre libéral ou salarié sont visés par l'obligation d'alimenter Mon espace santé.</w:t>
            </w:r>
          </w:p>
          <w:p w14:paraId="23A05207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Ils participent à sa mise en œuvre.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7896B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375623"/>
              </w:rPr>
              <w:t>Non modifié</w:t>
            </w:r>
          </w:p>
          <w:p w14:paraId="7CDFB485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La commission adopte l'article sans modification.</w:t>
            </w:r>
          </w:p>
        </w:tc>
      </w:tr>
      <w:tr w:rsidR="00BA60A1" w14:paraId="782F47FB" w14:textId="77777777">
        <w:tc>
          <w:tcPr>
            <w:tcW w:w="90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35426" w14:textId="77777777" w:rsidR="00BA60A1" w:rsidRDefault="00740689">
            <w:pPr>
              <w:jc w:val="center"/>
            </w:pPr>
            <w:r>
              <w:rPr>
                <w:b/>
                <w:bCs/>
                <w:color w:val="FFFFFF"/>
              </w:rPr>
              <w:t>Art. 5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024B2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1F4E79"/>
              </w:rPr>
              <w:t>Gage fiscal</w:t>
            </w:r>
          </w:p>
          <w:p w14:paraId="4CDCBA46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Compensation de la charge pour l'État et les organismes de sécurité sociale par majoration de l'accise sur les tabacs (code des impositions sur les biens et services).</w:t>
            </w:r>
          </w:p>
        </w:tc>
        <w:tc>
          <w:tcPr>
            <w:tcW w:w="7249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2E1C7" w14:textId="77777777" w:rsidR="00BA60A1" w:rsidRDefault="00740689">
            <w:pPr>
              <w:spacing w:before="40" w:after="40"/>
            </w:pPr>
            <w:r>
              <w:rPr>
                <w:b/>
                <w:bCs/>
                <w:color w:val="375623"/>
              </w:rPr>
              <w:t>Non modifié</w:t>
            </w:r>
          </w:p>
          <w:p w14:paraId="7CFC5AAB" w14:textId="77777777" w:rsidR="00BA60A1" w:rsidRDefault="00740689">
            <w:pPr>
              <w:spacing w:before="20" w:after="20"/>
              <w:ind w:left="300" w:hanging="200"/>
            </w:pPr>
            <w:r>
              <w:rPr>
                <w:b/>
                <w:bCs/>
                <w:color w:val="2E75B6"/>
                <w:sz w:val="17"/>
                <w:szCs w:val="17"/>
              </w:rPr>
              <w:t xml:space="preserve">• </w:t>
            </w:r>
            <w:r>
              <w:rPr>
                <w:color w:val="000000"/>
                <w:sz w:val="17"/>
                <w:szCs w:val="17"/>
              </w:rPr>
              <w:t>La commission adopte l'article sans modification.</w:t>
            </w:r>
          </w:p>
        </w:tc>
      </w:tr>
    </w:tbl>
    <w:p w14:paraId="48E95DBF" w14:textId="77777777" w:rsidR="00F26F92" w:rsidRDefault="00F26F92"/>
    <w:sectPr w:rsidR="00F26F92" w:rsidSect="001342E3">
      <w:footerReference w:type="default" r:id="rId7"/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318C" w14:textId="77777777" w:rsidR="00740689" w:rsidRDefault="00740689">
      <w:r>
        <w:separator/>
      </w:r>
    </w:p>
  </w:endnote>
  <w:endnote w:type="continuationSeparator" w:id="0">
    <w:p w14:paraId="673D172E" w14:textId="77777777" w:rsidR="00740689" w:rsidRDefault="0074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B141" w14:textId="77777777" w:rsidR="00BA60A1" w:rsidRDefault="00740689">
    <w:pPr>
      <w:pBdr>
        <w:top w:val="single" w:sz="4" w:space="1" w:color="9DC3E6"/>
      </w:pBdr>
      <w:spacing w:before="60"/>
      <w:jc w:val="right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1342E3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/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1342E3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2DB6A" w14:textId="77777777" w:rsidR="00740689" w:rsidRDefault="00740689">
      <w:r>
        <w:separator/>
      </w:r>
    </w:p>
  </w:footnote>
  <w:footnote w:type="continuationSeparator" w:id="0">
    <w:p w14:paraId="6C79E7BA" w14:textId="77777777" w:rsidR="00740689" w:rsidRDefault="00740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F2E1C"/>
    <w:multiLevelType w:val="hybridMultilevel"/>
    <w:tmpl w:val="33129708"/>
    <w:lvl w:ilvl="0" w:tplc="A1527370">
      <w:start w:val="1"/>
      <w:numFmt w:val="bullet"/>
      <w:lvlText w:val="●"/>
      <w:lvlJc w:val="left"/>
      <w:pPr>
        <w:ind w:left="720" w:hanging="360"/>
      </w:pPr>
    </w:lvl>
    <w:lvl w:ilvl="1" w:tplc="01DC9EDC">
      <w:start w:val="1"/>
      <w:numFmt w:val="bullet"/>
      <w:lvlText w:val="○"/>
      <w:lvlJc w:val="left"/>
      <w:pPr>
        <w:ind w:left="1440" w:hanging="360"/>
      </w:pPr>
    </w:lvl>
    <w:lvl w:ilvl="2" w:tplc="D644B076">
      <w:start w:val="1"/>
      <w:numFmt w:val="bullet"/>
      <w:lvlText w:val="■"/>
      <w:lvlJc w:val="left"/>
      <w:pPr>
        <w:ind w:left="2160" w:hanging="360"/>
      </w:pPr>
    </w:lvl>
    <w:lvl w:ilvl="3" w:tplc="426A5664">
      <w:start w:val="1"/>
      <w:numFmt w:val="bullet"/>
      <w:lvlText w:val="●"/>
      <w:lvlJc w:val="left"/>
      <w:pPr>
        <w:ind w:left="2880" w:hanging="360"/>
      </w:pPr>
    </w:lvl>
    <w:lvl w:ilvl="4" w:tplc="8CCA86A0">
      <w:start w:val="1"/>
      <w:numFmt w:val="bullet"/>
      <w:lvlText w:val="○"/>
      <w:lvlJc w:val="left"/>
      <w:pPr>
        <w:ind w:left="3600" w:hanging="360"/>
      </w:pPr>
    </w:lvl>
    <w:lvl w:ilvl="5" w:tplc="131C93BC">
      <w:start w:val="1"/>
      <w:numFmt w:val="bullet"/>
      <w:lvlText w:val="■"/>
      <w:lvlJc w:val="left"/>
      <w:pPr>
        <w:ind w:left="4320" w:hanging="360"/>
      </w:pPr>
    </w:lvl>
    <w:lvl w:ilvl="6" w:tplc="1AC0A836">
      <w:start w:val="1"/>
      <w:numFmt w:val="bullet"/>
      <w:lvlText w:val="●"/>
      <w:lvlJc w:val="left"/>
      <w:pPr>
        <w:ind w:left="5040" w:hanging="360"/>
      </w:pPr>
    </w:lvl>
    <w:lvl w:ilvl="7" w:tplc="C99C0AB0">
      <w:start w:val="1"/>
      <w:numFmt w:val="bullet"/>
      <w:lvlText w:val="●"/>
      <w:lvlJc w:val="left"/>
      <w:pPr>
        <w:ind w:left="5760" w:hanging="360"/>
      </w:pPr>
    </w:lvl>
    <w:lvl w:ilvl="8" w:tplc="5ACE26DA">
      <w:start w:val="1"/>
      <w:numFmt w:val="bullet"/>
      <w:lvlText w:val="●"/>
      <w:lvlJc w:val="left"/>
      <w:pPr>
        <w:ind w:left="6480" w:hanging="360"/>
      </w:pPr>
    </w:lvl>
  </w:abstractNum>
  <w:num w:numId="1" w16cid:durableId="11668185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0A1"/>
    <w:rsid w:val="001342E3"/>
    <w:rsid w:val="0038071D"/>
    <w:rsid w:val="005640AB"/>
    <w:rsid w:val="0062612F"/>
    <w:rsid w:val="00691FD2"/>
    <w:rsid w:val="006E2395"/>
    <w:rsid w:val="00740689"/>
    <w:rsid w:val="00BA60A1"/>
    <w:rsid w:val="00CF7D9B"/>
    <w:rsid w:val="00EF3669"/>
    <w:rsid w:val="00F2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F4B0"/>
  <w15:docId w15:val="{F038909A-16C0-9644-AB7D-1DFE04F2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261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612F"/>
  </w:style>
  <w:style w:type="paragraph" w:styleId="Pieddepage">
    <w:name w:val="footer"/>
    <w:basedOn w:val="Normal"/>
    <w:link w:val="PieddepageCar"/>
    <w:uiPriority w:val="99"/>
    <w:unhideWhenUsed/>
    <w:rsid w:val="006261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6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1026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Sylvie Aubry</cp:lastModifiedBy>
  <cp:revision>3</cp:revision>
  <dcterms:created xsi:type="dcterms:W3CDTF">2026-06-01T13:26:00Z</dcterms:created>
  <dcterms:modified xsi:type="dcterms:W3CDTF">2026-06-01T13:26:00Z</dcterms:modified>
</cp:coreProperties>
</file>