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77DB" w14:textId="77777777" w:rsidR="00BA60A1" w:rsidRDefault="00740689">
      <w:pPr>
        <w:spacing w:after="200"/>
        <w:jc w:val="center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>Proposition de loi visant à lutter contre les déserts médicaux</w:t>
      </w:r>
    </w:p>
    <w:p w14:paraId="5D46E41C" w14:textId="3AA42A98" w:rsidR="0062612F" w:rsidRDefault="0062612F">
      <w:pPr>
        <w:spacing w:after="200"/>
        <w:jc w:val="center"/>
      </w:pPr>
      <w:r>
        <w:rPr>
          <w:b/>
          <w:bCs/>
          <w:color w:val="1F4E79"/>
          <w:sz w:val="28"/>
          <w:szCs w:val="28"/>
        </w:rPr>
        <w:t>PPL GAROT</w:t>
      </w:r>
    </w:p>
    <w:p w14:paraId="5BF3C341" w14:textId="77777777" w:rsidR="0062612F" w:rsidRDefault="00740689" w:rsidP="0062612F">
      <w:pPr>
        <w:spacing w:after="60"/>
        <w:jc w:val="center"/>
        <w:rPr>
          <w:color w:val="595959"/>
        </w:rPr>
      </w:pPr>
      <w:r>
        <w:rPr>
          <w:color w:val="595959"/>
        </w:rPr>
        <w:t xml:space="preserve">Tableau comparatif : texte transmis par l'Assemblée nationale ( texte de la commission des affaires sociales du Sénat </w:t>
      </w:r>
    </w:p>
    <w:p w14:paraId="4C58BD6B" w14:textId="3196896D" w:rsidR="00BA60A1" w:rsidRDefault="00BA60A1" w:rsidP="0062612F">
      <w:pPr>
        <w:spacing w:after="60"/>
        <w:jc w:val="center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7249"/>
        <w:gridCol w:w="7249"/>
      </w:tblGrid>
      <w:tr w:rsidR="00BA60A1" w14:paraId="242F5868" w14:textId="77777777">
        <w:trPr>
          <w:tblHeader/>
        </w:trPr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79275" w14:textId="77777777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Art.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A4B27" w14:textId="7CE7D8C8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Texte transmis par l'Assemblée nationale 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D1D6F0" w14:textId="5BEC9016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Texte de la commission des affaires sociales du Sénat </w:t>
            </w:r>
          </w:p>
        </w:tc>
      </w:tr>
      <w:tr w:rsidR="00BA60A1" w14:paraId="21C65280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F4F7E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1er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97A14" w14:textId="1C3E4668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 xml:space="preserve">Régulation de l'installation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autorisation préalable du DG ARS</w:t>
            </w:r>
          </w:p>
          <w:p w14:paraId="054D1AED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Création d'un article L. 4111-1-3 dans le code de la santé publique :</w:t>
            </w:r>
          </w:p>
          <w:p w14:paraId="7A0E9869" w14:textId="77777777" w:rsidR="00BA60A1" w:rsidRPr="0062612F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Tout médecin libéral ou salarié d'un centre de santé doit obtenir une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autorisation préalable du DG ARS pour s'installer.</w:t>
            </w:r>
          </w:p>
          <w:p w14:paraId="1CF9FBB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L'autorisation est délivrée de droit si le lieu est en zone sous-dense (1° art. L. 1434-4) ou si un médecin de la même spécialité cesse concomitamment son activité dans la même zone.</w:t>
            </w:r>
          </w:p>
          <w:p w14:paraId="3D397F68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Dans tous les autres cas (zones bien dotées), l'autorisation ne peut être délivrée : installation interdite sauf remplacement.</w:t>
            </w:r>
          </w:p>
          <w:p w14:paraId="61D984E8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 en Conseil d'État après avis du CNOM et consultation des étudiants, usagers et élus locaux.</w:t>
            </w:r>
          </w:p>
          <w:p w14:paraId="70CCA719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Entrée en vigueur : au plus tard 1 an après promulgation.</w:t>
            </w:r>
          </w:p>
          <w:p w14:paraId="76335CB8" w14:textId="1D608B90" w:rsidR="00BA60A1" w:rsidRDefault="00BA60A1">
            <w:pPr>
              <w:spacing w:before="30" w:after="30"/>
            </w:pP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8FB9A" w14:textId="4B2646D7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Réécriture complète </w:t>
            </w:r>
            <w:r w:rsidR="0062612F">
              <w:rPr>
                <w:b/>
                <w:bCs/>
                <w:color w:val="7F6000"/>
              </w:rPr>
              <w:t xml:space="preserve">- </w:t>
            </w:r>
            <w:r>
              <w:rPr>
                <w:b/>
                <w:bCs/>
                <w:color w:val="7F6000"/>
              </w:rPr>
              <w:t>amendement COM-1 adopté</w:t>
            </w:r>
          </w:p>
          <w:p w14:paraId="5B59070E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Conditionnalité souple de l'installation en zone sur-dense :</w:t>
            </w:r>
          </w:p>
          <w:p w14:paraId="01708233" w14:textId="2669E8C1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Art. L. 4131-8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Médecins généralistes</w:t>
            </w:r>
          </w:p>
          <w:p w14:paraId="543F976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L'installation en zone particulièrement bien dotée (2° art. L. 1434-4) est soumise à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autorisation préalable du DG ARS</w:t>
            </w:r>
            <w:r>
              <w:rPr>
                <w:color w:val="000000"/>
                <w:sz w:val="17"/>
                <w:szCs w:val="17"/>
              </w:rPr>
              <w:t xml:space="preserve"> après avis du conseil départemental de l'ordre.</w:t>
            </w:r>
          </w:p>
          <w:p w14:paraId="269FF8B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L'autorisation est conditionnée à un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engagement du médecin d'exercer à temps partiel dans une zone sous-dense</w:t>
            </w:r>
            <w:r>
              <w:rPr>
                <w:color w:val="000000"/>
                <w:sz w:val="17"/>
                <w:szCs w:val="17"/>
              </w:rPr>
              <w:t>. Retrait possible si méconnaissance de l'engagement.</w:t>
            </w:r>
          </w:p>
          <w:p w14:paraId="6215C040" w14:textId="1AAFA1FC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Art. L. 4131-9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Spécialistes hors médecine générale</w:t>
            </w:r>
          </w:p>
          <w:p w14:paraId="777D386E" w14:textId="77777777" w:rsidR="00BA60A1" w:rsidRPr="0062612F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Même logique, mais l'autorisation est en outre conditionnée à la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cessation concomitante d'un confrère de la même spécialité dans la même zone.</w:t>
            </w:r>
          </w:p>
          <w:p w14:paraId="19EAC45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Exception : le spécialiste peut être autorisé s'il s'engage à exercer à temps partiel en zone sous-dense, ou à titre exceptionnel sur décision motivée du DG ARS.</w:t>
            </w:r>
          </w:p>
          <w:p w14:paraId="5E7B9C37" w14:textId="77777777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>Modifications connexes</w:t>
            </w:r>
          </w:p>
          <w:p w14:paraId="4724DCEC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4112-1 : déclaration préalable pour les cabinets secondaires (délai réduit de 2 mois à 6 semaines) ; motifs de refus limités à la qualité et sécurité des soins pour les médecins sous engagement.</w:t>
            </w:r>
          </w:p>
          <w:p w14:paraId="6C3C15A2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1434-3 et L. 1434-4 : prise en compte des spécificités de chaque spécialité médicale pour la détermination des zones par le DG ARS.</w:t>
            </w:r>
          </w:p>
          <w:p w14:paraId="5816E82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Ajout dans le code de la sécurité sociale (28° de L. 162-5) : participation financière de l'assurance maladie aux frais engagés par les médecins pour respecter l'engagement.</w:t>
            </w:r>
          </w:p>
          <w:p w14:paraId="01D412A2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Décrets en Conseil d'État après avis du CNOM pour le nombre minimum d'actes et les modalités de contrôle.</w:t>
            </w:r>
          </w:p>
          <w:p w14:paraId="62C10414" w14:textId="376D74BD" w:rsidR="00BA60A1" w:rsidRDefault="00740689" w:rsidP="0062612F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Entrée en vigueur : date fixée par décret, au plus tard 1 an après promulgation.</w:t>
            </w:r>
          </w:p>
        </w:tc>
      </w:tr>
      <w:tr w:rsidR="00BA60A1" w14:paraId="083265A7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CD2B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1er bis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6CE33" w14:textId="6C279F7F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 xml:space="preserve">Indicateur territorial de l'offre de soins </w:t>
            </w:r>
          </w:p>
          <w:p w14:paraId="2A0163B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Création d'un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indicateur territorial par spécialité</w:t>
            </w:r>
            <w:r>
              <w:rPr>
                <w:color w:val="000000"/>
                <w:sz w:val="17"/>
                <w:szCs w:val="17"/>
              </w:rPr>
              <w:t>, commune et territoire de santé, élaboré chaque année par l'ARS (nouvel al. II de L. 1411-11).</w:t>
            </w:r>
          </w:p>
          <w:p w14:paraId="125BB150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Sert de base à la détermination des zones (L. 1434-4), au projet régional de santé et aux décisions d'ouverture ou transfert de cabinets libéraux.</w:t>
            </w:r>
          </w:p>
          <w:p w14:paraId="62ADFC43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 fixant un niveau minimal d'offre de soins par spécialité, après avis de la HAS.</w:t>
            </w:r>
          </w:p>
          <w:p w14:paraId="47B38B0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Mise à jour annuelle au plus tard le 31 mars de chaque année.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87815" w14:textId="5224E30F" w:rsidR="00BA60A1" w:rsidRDefault="00740689">
            <w:pPr>
              <w:spacing w:before="40" w:after="40"/>
            </w:pPr>
            <w:r>
              <w:rPr>
                <w:b/>
                <w:bCs/>
                <w:color w:val="C00000"/>
              </w:rPr>
              <w:t xml:space="preserve">Supprimé </w:t>
            </w:r>
            <w:r w:rsidR="00EF3669">
              <w:rPr>
                <w:b/>
                <w:bCs/>
                <w:color w:val="C00000"/>
              </w:rPr>
              <w:t>-</w:t>
            </w:r>
            <w:r>
              <w:rPr>
                <w:b/>
                <w:bCs/>
                <w:color w:val="C00000"/>
              </w:rPr>
              <w:t xml:space="preserve"> amendement COM-2 adopté</w:t>
            </w:r>
          </w:p>
          <w:p w14:paraId="6A53ABD9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La commission supprime cet article.</w:t>
            </w:r>
          </w:p>
          <w:p w14:paraId="26F48517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rapporteure juge l'indicateur trop précis et trop rigide, ne laissant pas de souplesse à l'adaptation locale.</w:t>
            </w:r>
          </w:p>
          <w:p w14:paraId="0DA2945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L'indicateur d'accessibilité potentielle localisée (APL), en cours d'amélioration, est jugé suffisant.</w:t>
            </w:r>
          </w:p>
          <w:p w14:paraId="31222819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Fixer les modalités de détermination de l'indicateur dans la loi n'est pas considéré opportun.</w:t>
            </w:r>
          </w:p>
          <w:p w14:paraId="75A6EADE" w14:textId="77777777" w:rsidR="00BA60A1" w:rsidRDefault="00740689">
            <w:pPr>
              <w:spacing w:before="20" w:after="20"/>
              <w:ind w:left="300" w:hanging="200"/>
              <w:rPr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Sénat avait déjà privilégié une logique ascendante de concertation locale pour la détermination des besoins en santé des territoires.</w:t>
            </w:r>
          </w:p>
          <w:p w14:paraId="14932DD6" w14:textId="77777777" w:rsidR="0038071D" w:rsidRDefault="0038071D">
            <w:pPr>
              <w:spacing w:before="20" w:after="20"/>
              <w:ind w:left="300" w:hanging="200"/>
              <w:rPr>
                <w:color w:val="000000"/>
                <w:sz w:val="17"/>
                <w:szCs w:val="17"/>
              </w:rPr>
            </w:pPr>
          </w:p>
          <w:p w14:paraId="0669140A" w14:textId="77777777" w:rsidR="0062612F" w:rsidRDefault="0062612F">
            <w:pPr>
              <w:spacing w:before="20" w:after="20"/>
              <w:ind w:left="300" w:hanging="200"/>
            </w:pPr>
          </w:p>
        </w:tc>
      </w:tr>
      <w:tr w:rsidR="00BA60A1" w14:paraId="1137AD61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27CFB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lastRenderedPageBreak/>
              <w:t>Art. 2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15D56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Médecin traitant — dispense de majoration du ticket modérateur</w:t>
            </w:r>
          </w:p>
          <w:p w14:paraId="67D66FE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Nouveau cas d'exonération de la majoration du ticket modérateur (L. 162-5-3, 6°) : lorsque le patient atteste qu'aucun médecin n'accepte d'être son médecin traitant.</w:t>
            </w:r>
          </w:p>
          <w:p w14:paraId="288FCB9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caisse d'assurance maladie transmet alors les coordonnées de l'organisation coordonnée territoriale et invite le patient à prendre contact avec elle.</w:t>
            </w:r>
          </w:p>
          <w:p w14:paraId="2F81E4BA" w14:textId="7FE18435" w:rsidR="00BA60A1" w:rsidRDefault="00BA60A1">
            <w:pPr>
              <w:spacing w:before="20" w:after="20"/>
              <w:ind w:left="300" w:hanging="200"/>
            </w:pP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085FE" w14:textId="25C012E9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Modifié </w:t>
            </w:r>
            <w:r w:rsidR="00EF3669">
              <w:rPr>
                <w:b/>
                <w:bCs/>
                <w:color w:val="7F6000"/>
              </w:rPr>
              <w:t>par</w:t>
            </w:r>
            <w:r>
              <w:rPr>
                <w:b/>
                <w:bCs/>
                <w:color w:val="7F6000"/>
              </w:rPr>
              <w:t xml:space="preserve"> amendements COM-3, COM-4, COM-5, COM-6 adoptés</w:t>
            </w:r>
          </w:p>
          <w:p w14:paraId="5191339E" w14:textId="712B4268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COM-3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Coordination légistique</w:t>
            </w:r>
          </w:p>
          <w:p w14:paraId="4A762624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Ajout d'un renvoi à L. 161-36-4 (participation majorable en application du sixième alinéa).</w:t>
            </w:r>
          </w:p>
          <w:p w14:paraId="31A20294" w14:textId="39BFDB2D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COM-4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Élargissement et clarification</w:t>
            </w:r>
          </w:p>
          <w:p w14:paraId="2F49B6E4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Remplacement de « la caisse d'assurance maladie » par « l'organisme gestionnaire du régime de base d'assurance maladie » pour couvrir tous les régimes.</w:t>
            </w:r>
          </w:p>
          <w:p w14:paraId="39FA1B7A" w14:textId="77777777" w:rsidR="00BA60A1" w:rsidRPr="00EF3669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Extension aux patients dont le médecin traitant a cessé son activité ou déménagé.</w:t>
            </w:r>
          </w:p>
          <w:p w14:paraId="4AFCD83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Pluralisation : « des organisations coordonnées territoriales » (au lieu du singulier).</w:t>
            </w:r>
          </w:p>
          <w:p w14:paraId="60FF4EA1" w14:textId="3A3C97CF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COM-5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Mesure transitoire (nouveau 1° bis)</w:t>
            </w:r>
          </w:p>
          <w:p w14:paraId="3D786D7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6° de L. 162-5-3 est abrogé cinq ans après la promulgation : la mesure devient transitoire, non pérenne.</w:t>
            </w:r>
          </w:p>
          <w:p w14:paraId="500CA5E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rapporteure rappelle son attachement au parcours de soins coordonnés sur le long terme.</w:t>
            </w:r>
          </w:p>
          <w:p w14:paraId="10448A4C" w14:textId="1B680055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COM-6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Coordination L. 861-3</w:t>
            </w:r>
          </w:p>
          <w:p w14:paraId="307A4C1E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Ajout d'une coordination à l'article L. 861-3 du CSS (même renvoi au sixième alinéa).</w:t>
            </w:r>
          </w:p>
          <w:p w14:paraId="5EC6F1D0" w14:textId="77777777" w:rsidR="00BA60A1" w:rsidRDefault="00740689">
            <w:pPr>
              <w:spacing w:before="30" w:after="30"/>
            </w:pPr>
            <w:r>
              <w:rPr>
                <w:i/>
                <w:iCs/>
                <w:color w:val="595959"/>
                <w:sz w:val="16"/>
                <w:szCs w:val="16"/>
              </w:rPr>
              <w:t>La commission accepte la mesure mais en limite la durée à 5 ans, le temps que la démographie médicale s'améliore.</w:t>
            </w:r>
          </w:p>
        </w:tc>
      </w:tr>
      <w:tr w:rsidR="00BA60A1" w14:paraId="106C8B75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31C89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3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A7363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Déploiement territorial des études de santé</w:t>
            </w:r>
          </w:p>
          <w:p w14:paraId="38D9589C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632-1 du code de l'éducation : la formation médicale doit garantir un accès de proximité sur l'ensemble du territoire national.</w:t>
            </w:r>
          </w:p>
          <w:p w14:paraId="052922A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Obligation pour chaque UFR santé de proposer au moins la 1re année du 1er cycle (médecine, pharmacie, odontologie, maïeutique) dans chaque département.</w:t>
            </w:r>
          </w:p>
          <w:p w14:paraId="162238AF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Priorité aux zones sous-denses définies au 1° de L. 1434-4 du code de la santé publique.</w:t>
            </w:r>
          </w:p>
          <w:p w14:paraId="39E53BE9" w14:textId="77777777" w:rsidR="00BA60A1" w:rsidRDefault="00740689">
            <w:pPr>
              <w:spacing w:before="30" w:after="30"/>
            </w:pPr>
            <w:r>
              <w:rPr>
                <w:i/>
                <w:iCs/>
                <w:color w:val="595959"/>
                <w:sz w:val="16"/>
                <w:szCs w:val="16"/>
              </w:rPr>
              <w:t>II et III supprimés par l'Assemblée nationale avant transmission.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8252D" w14:textId="6F91906C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Modifié </w:t>
            </w:r>
            <w:r w:rsidR="00EF3669">
              <w:rPr>
                <w:b/>
                <w:bCs/>
                <w:color w:val="7F6000"/>
              </w:rPr>
              <w:t>-</w:t>
            </w:r>
            <w:r>
              <w:rPr>
                <w:b/>
                <w:bCs/>
                <w:color w:val="7F6000"/>
              </w:rPr>
              <w:t xml:space="preserve"> amendement COM-7 adopté</w:t>
            </w:r>
          </w:p>
          <w:p w14:paraId="46F6E66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I (obligation de formation dans chaque département) est maintenu dans son intégralité sans modification.</w:t>
            </w:r>
          </w:p>
          <w:p w14:paraId="08F2841F" w14:textId="77777777" w:rsidR="00BA60A1" w:rsidRPr="00EF3669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Ajout d'un IV : le I entre en vigueur à une date fixée par décret en Conseil d'État,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au plus tard le 1er septembre 2030 (contre entrée en vigueur immédiate dans le texte de l'AN).</w:t>
            </w:r>
          </w:p>
          <w:p w14:paraId="5AC3464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Objectif : laisser aux universités le temps de réunir les moyens humains et logistiques nécessaires pour garantir la qualité des formations délocalisées.</w:t>
            </w:r>
          </w:p>
        </w:tc>
      </w:tr>
      <w:tr w:rsidR="00BA60A1" w14:paraId="2D1D4CAD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EC3AC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4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CBC39" w14:textId="77777777" w:rsidR="005819EA" w:rsidRDefault="00F7097C" w:rsidP="00F7097C">
            <w:pPr>
              <w:spacing w:before="20" w:after="20"/>
              <w:ind w:left="300" w:hanging="200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Permanence des soins obligatoire</w:t>
            </w:r>
          </w:p>
          <w:p w14:paraId="23A05207" w14:textId="7D47CB19" w:rsidR="00BA60A1" w:rsidRDefault="005819EA" w:rsidP="005819EA">
            <w:pPr>
              <w:spacing w:before="20" w:after="20"/>
              <w:ind w:left="300" w:hanging="200"/>
            </w:pPr>
            <w:r>
              <w:rPr>
                <w:color w:val="000000"/>
                <w:sz w:val="17"/>
                <w:szCs w:val="17"/>
              </w:rPr>
              <w:t xml:space="preserve">L’art L1110-4-1 du CSP précise actuellement que les médecins (en autres) sont responsables collectivement de la PDSA. Cert article précise qu’il s’agit des médecins exerçant en totalité ou pour partie leurs fonctions à titre libéral ou salarié et rajoute qu’ils </w:t>
            </w:r>
            <w:r w:rsidR="00F7097C">
              <w:rPr>
                <w:color w:val="000000"/>
                <w:sz w:val="17"/>
                <w:szCs w:val="17"/>
              </w:rPr>
              <w:t xml:space="preserve">participent à sa mise en </w:t>
            </w:r>
            <w:r w:rsidR="00E75A6E">
              <w:rPr>
                <w:color w:val="000000"/>
                <w:sz w:val="17"/>
                <w:szCs w:val="17"/>
              </w:rPr>
              <w:t>œuvre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7896B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375623"/>
              </w:rPr>
              <w:t>Non modifié</w:t>
            </w:r>
          </w:p>
          <w:p w14:paraId="7CDFB48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commission adopte l'article sans modification.</w:t>
            </w:r>
          </w:p>
        </w:tc>
      </w:tr>
      <w:tr w:rsidR="00BA60A1" w14:paraId="782F47FB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35426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5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024B2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Gage fiscal</w:t>
            </w:r>
          </w:p>
          <w:p w14:paraId="4CDCBA4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Compensation de la charge pour l'État et les organismes de sécurité sociale par majoration de l'accise sur les tabacs (code des impositions sur les biens et services).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2E1C7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375623"/>
              </w:rPr>
              <w:t>Non modifié</w:t>
            </w:r>
          </w:p>
          <w:p w14:paraId="7CFC5AA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commission adopte l'article sans modification.</w:t>
            </w:r>
          </w:p>
        </w:tc>
      </w:tr>
    </w:tbl>
    <w:p w14:paraId="48E95DBF" w14:textId="77777777" w:rsidR="00F26F92" w:rsidRDefault="00F26F92"/>
    <w:sectPr w:rsidR="00F26F92" w:rsidSect="001342E3">
      <w:footerReference w:type="default" r:id="rId7"/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01EB1" w14:textId="77777777" w:rsidR="00A4696D" w:rsidRDefault="00A4696D">
      <w:r>
        <w:separator/>
      </w:r>
    </w:p>
  </w:endnote>
  <w:endnote w:type="continuationSeparator" w:id="0">
    <w:p w14:paraId="36138AEA" w14:textId="77777777" w:rsidR="00A4696D" w:rsidRDefault="00A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B141" w14:textId="77777777" w:rsidR="00BA60A1" w:rsidRDefault="00740689">
    <w:pPr>
      <w:pBdr>
        <w:top w:val="single" w:sz="4" w:space="1" w:color="9DC3E6"/>
      </w:pBdr>
      <w:spacing w:before="60"/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1342E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1342E3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EA474" w14:textId="77777777" w:rsidR="00A4696D" w:rsidRDefault="00A4696D">
      <w:r>
        <w:separator/>
      </w:r>
    </w:p>
  </w:footnote>
  <w:footnote w:type="continuationSeparator" w:id="0">
    <w:p w14:paraId="1C36E650" w14:textId="77777777" w:rsidR="00A4696D" w:rsidRDefault="00A4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2E1C"/>
    <w:multiLevelType w:val="hybridMultilevel"/>
    <w:tmpl w:val="33129708"/>
    <w:lvl w:ilvl="0" w:tplc="A1527370">
      <w:start w:val="1"/>
      <w:numFmt w:val="bullet"/>
      <w:lvlText w:val="●"/>
      <w:lvlJc w:val="left"/>
      <w:pPr>
        <w:ind w:left="720" w:hanging="360"/>
      </w:pPr>
    </w:lvl>
    <w:lvl w:ilvl="1" w:tplc="01DC9EDC">
      <w:start w:val="1"/>
      <w:numFmt w:val="bullet"/>
      <w:lvlText w:val="○"/>
      <w:lvlJc w:val="left"/>
      <w:pPr>
        <w:ind w:left="1440" w:hanging="360"/>
      </w:pPr>
    </w:lvl>
    <w:lvl w:ilvl="2" w:tplc="D644B076">
      <w:start w:val="1"/>
      <w:numFmt w:val="bullet"/>
      <w:lvlText w:val="■"/>
      <w:lvlJc w:val="left"/>
      <w:pPr>
        <w:ind w:left="2160" w:hanging="360"/>
      </w:pPr>
    </w:lvl>
    <w:lvl w:ilvl="3" w:tplc="426A5664">
      <w:start w:val="1"/>
      <w:numFmt w:val="bullet"/>
      <w:lvlText w:val="●"/>
      <w:lvlJc w:val="left"/>
      <w:pPr>
        <w:ind w:left="2880" w:hanging="360"/>
      </w:pPr>
    </w:lvl>
    <w:lvl w:ilvl="4" w:tplc="8CCA86A0">
      <w:start w:val="1"/>
      <w:numFmt w:val="bullet"/>
      <w:lvlText w:val="○"/>
      <w:lvlJc w:val="left"/>
      <w:pPr>
        <w:ind w:left="3600" w:hanging="360"/>
      </w:pPr>
    </w:lvl>
    <w:lvl w:ilvl="5" w:tplc="131C93BC">
      <w:start w:val="1"/>
      <w:numFmt w:val="bullet"/>
      <w:lvlText w:val="■"/>
      <w:lvlJc w:val="left"/>
      <w:pPr>
        <w:ind w:left="4320" w:hanging="360"/>
      </w:pPr>
    </w:lvl>
    <w:lvl w:ilvl="6" w:tplc="1AC0A836">
      <w:start w:val="1"/>
      <w:numFmt w:val="bullet"/>
      <w:lvlText w:val="●"/>
      <w:lvlJc w:val="left"/>
      <w:pPr>
        <w:ind w:left="5040" w:hanging="360"/>
      </w:pPr>
    </w:lvl>
    <w:lvl w:ilvl="7" w:tplc="C99C0AB0">
      <w:start w:val="1"/>
      <w:numFmt w:val="bullet"/>
      <w:lvlText w:val="●"/>
      <w:lvlJc w:val="left"/>
      <w:pPr>
        <w:ind w:left="5760" w:hanging="360"/>
      </w:pPr>
    </w:lvl>
    <w:lvl w:ilvl="8" w:tplc="5ACE26DA">
      <w:start w:val="1"/>
      <w:numFmt w:val="bullet"/>
      <w:lvlText w:val="●"/>
      <w:lvlJc w:val="left"/>
      <w:pPr>
        <w:ind w:left="6480" w:hanging="360"/>
      </w:pPr>
    </w:lvl>
  </w:abstractNum>
  <w:num w:numId="1" w16cid:durableId="1166818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A1"/>
    <w:rsid w:val="001342E3"/>
    <w:rsid w:val="0038071D"/>
    <w:rsid w:val="005640AB"/>
    <w:rsid w:val="005819EA"/>
    <w:rsid w:val="0062612F"/>
    <w:rsid w:val="00691FD2"/>
    <w:rsid w:val="006E2395"/>
    <w:rsid w:val="00740689"/>
    <w:rsid w:val="007E0CCC"/>
    <w:rsid w:val="00A4696D"/>
    <w:rsid w:val="00B97A21"/>
    <w:rsid w:val="00BA60A1"/>
    <w:rsid w:val="00C602C9"/>
    <w:rsid w:val="00CF7D9B"/>
    <w:rsid w:val="00DA6CBF"/>
    <w:rsid w:val="00E75A6E"/>
    <w:rsid w:val="00EF3669"/>
    <w:rsid w:val="00F26F92"/>
    <w:rsid w:val="00F7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F4B0"/>
  <w15:docId w15:val="{F038909A-16C0-9644-AB7D-1DFE04F2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261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612F"/>
  </w:style>
  <w:style w:type="paragraph" w:styleId="Pieddepage">
    <w:name w:val="footer"/>
    <w:basedOn w:val="Normal"/>
    <w:link w:val="PieddepageCar"/>
    <w:uiPriority w:val="99"/>
    <w:unhideWhenUsed/>
    <w:rsid w:val="006261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6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5712</Characters>
  <Application>Microsoft Office Word</Application>
  <DocSecurity>4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Les Généralistes CSMF</cp:lastModifiedBy>
  <cp:revision>2</cp:revision>
  <dcterms:created xsi:type="dcterms:W3CDTF">2026-06-04T13:29:00Z</dcterms:created>
  <dcterms:modified xsi:type="dcterms:W3CDTF">2026-06-04T13:29:00Z</dcterms:modified>
</cp:coreProperties>
</file>