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74EDA" w14:textId="77777777" w:rsidR="00CC2551" w:rsidRDefault="00CC2551" w:rsidP="00CC2551">
      <w:pPr>
        <w:pStyle w:val="Titre1"/>
        <w:rPr>
          <w:rFonts w:eastAsia="Times New Roman"/>
        </w:rPr>
      </w:pPr>
      <w:r>
        <w:rPr>
          <w:rFonts w:eastAsia="Times New Roman"/>
        </w:rPr>
        <w:t>Rémunération des médecins généralistes : accélération des honoraires et des forfaits en 2025</w:t>
      </w:r>
    </w:p>
    <w:p w14:paraId="0BEA63E9" w14:textId="15759039" w:rsidR="00CC2551" w:rsidRDefault="00CC2551" w:rsidP="00CC2551">
      <w:pPr>
        <w:spacing w:before="100" w:beforeAutospacing="1" w:after="100" w:afterAutospacing="1"/>
      </w:pPr>
      <w:r>
        <w:t xml:space="preserve">Par </w:t>
      </w:r>
      <w:hyperlink r:id="rId4" w:tgtFrame="_blank" w:history="1">
        <w:r>
          <w:rPr>
            <w:rStyle w:val="Lienhypertexte"/>
          </w:rPr>
          <w:t>Anne Bayle-</w:t>
        </w:r>
        <w:proofErr w:type="spellStart"/>
        <w:r>
          <w:rPr>
            <w:rStyle w:val="Lienhypertexte"/>
          </w:rPr>
          <w:t>Iniguez</w:t>
        </w:r>
        <w:proofErr w:type="spellEnd"/>
      </w:hyperlink>
      <w:r>
        <w:t xml:space="preserve"> - Publié le 29/05/2026</w:t>
      </w:r>
    </w:p>
    <w:p w14:paraId="3A07A887" w14:textId="77777777" w:rsidR="00CC2551" w:rsidRDefault="00CC2551" w:rsidP="00CC2551">
      <w:pPr>
        <w:spacing w:before="100" w:beforeAutospacing="1" w:after="100" w:afterAutospacing="1"/>
      </w:pPr>
      <w:r>
        <w:t>Impact de la revalorisation de la consultation de référence, forte dynamique des rémunérations forfaitaires : la Commission des comptes de la Sécurité sociale quantifie la progression des honoraires généralistes dans son rapport annuel.</w:t>
      </w:r>
    </w:p>
    <w:p w14:paraId="52D91670" w14:textId="77777777" w:rsidR="00CC2551" w:rsidRDefault="00CC2551" w:rsidP="00CC2551">
      <w:pPr>
        <w:pStyle w:val="m-3427299587549730044componentbody"/>
      </w:pPr>
      <w:r>
        <w:t xml:space="preserve">Les chiffres sont sans appel. L’an passé, les honoraires des médecins généralistes ont bondi de 7,7 %, passant de 6,32 milliards d’euros à 6,8 milliards d'euros, indique la Commission des comptes de la Sécurité sociale (CCSS) dans son rapport sur les résultats 2025 et les prévisions 2026, qui fait autorité et dont </w:t>
      </w:r>
      <w:r>
        <w:rPr>
          <w:i/>
          <w:iCs/>
        </w:rPr>
        <w:t>Le Quotidien</w:t>
      </w:r>
      <w:r>
        <w:t xml:space="preserve"> a eu copie. Cette croissance des dépenses de médecine générale est supérieure à la dynamique générale des soins de ville (+ 4,9 %), et également plus élevée que l’évolution des honoraires médecins spécialistes (+ 5,6 %, à 15,5 milliards).</w:t>
      </w:r>
    </w:p>
    <w:p w14:paraId="6D3EA6E5" w14:textId="77777777" w:rsidR="00CC2551" w:rsidRDefault="00CC2551" w:rsidP="00CC2551">
      <w:pPr>
        <w:pStyle w:val="m-3427299587549730044componentbody"/>
      </w:pPr>
      <w:r>
        <w:t>L’exercice 2025 a été dopé par l’augmentation du tarif de la consultation de référence, entrée en vigueur le 22 décembre 2024 dans le cadre de la convention 2024-2029, mais aussi par l'essor des rémunérations forfaitaires.</w:t>
      </w:r>
    </w:p>
    <w:p w14:paraId="179581BA" w14:textId="77777777" w:rsidR="00CC2551" w:rsidRDefault="00CC2551" w:rsidP="00CC2551">
      <w:pPr>
        <w:pStyle w:val="m-3427299587549730044componentbody"/>
      </w:pPr>
      <w:r>
        <w:t xml:space="preserve">Ainsi, la hausse des honoraires des généralistes en 2025 est avant tout portée </w:t>
      </w:r>
      <w:r>
        <w:rPr>
          <w:i/>
          <w:iCs/>
        </w:rPr>
        <w:t>« par un effet prix important et en hausse depuis 2023 »</w:t>
      </w:r>
      <w:r>
        <w:t>, qui a atteint 9,6 % en 2025, contre 4,6 % en 2024, confirme le rapport. À elles seules, les consultations, qui représentent 82 % de la dépense liée aux généralistes, ont contribué pour huit points à la croissance de ce poste, ce qui alimente l’effet prix.</w:t>
      </w:r>
    </w:p>
    <w:p w14:paraId="5D9E6AA6" w14:textId="77777777" w:rsidR="00CC2551" w:rsidRDefault="00CC2551" w:rsidP="00CC2551">
      <w:pPr>
        <w:pStyle w:val="m-3427299587549730044componentbody"/>
      </w:pPr>
      <w:r>
        <w:t xml:space="preserve">Les postes des honoraires des médecins généralistes et des spécialistes ont évolué en 2025 selon des logiques différentes : les premiers ont bénéficié d'une revalorisation significative alors que les seconds ont été surtout soutenus par un surcroît d'activité. Pour les spécialistes, la dynamique du chiffre d’affaires résulte en effet principalement d'un </w:t>
      </w:r>
      <w:r>
        <w:rPr>
          <w:i/>
          <w:iCs/>
        </w:rPr>
        <w:t xml:space="preserve">« effet volume » </w:t>
      </w:r>
      <w:r>
        <w:t>(+ 4,4 % en 2025), davantage que d’avancées tarifaires (plus ciblées et tardives). Les actes techniques, qui représentent 68 % des dépenses des spécialistes, contribuent pour 3,2 points à leur croissance. Les consultations et les forfaits techniques contribuent respectivement pour 1,2 et 1 point à la croissance des dépenses des médecins spécialistes et représentent seulement 19 % et 12 % des dépenses de ce poste.</w:t>
      </w:r>
    </w:p>
    <w:p w14:paraId="216E5758" w14:textId="77777777" w:rsidR="00CC2551" w:rsidRDefault="00CC2551" w:rsidP="00CC2551">
      <w:pPr>
        <w:pStyle w:val="Titre2"/>
        <w:rPr>
          <w:rFonts w:eastAsia="Times New Roman"/>
        </w:rPr>
      </w:pPr>
      <w:r>
        <w:rPr>
          <w:rFonts w:eastAsia="Times New Roman"/>
        </w:rPr>
        <w:t>Tendance de fond</w:t>
      </w:r>
    </w:p>
    <w:p w14:paraId="21199A2C" w14:textId="77777777" w:rsidR="00CC2551" w:rsidRDefault="00CC2551" w:rsidP="00CC2551">
      <w:pPr>
        <w:pStyle w:val="m-3427299587549730044componentbody"/>
      </w:pPr>
      <w:r>
        <w:t xml:space="preserve">Autre fait marquant pour le modèle économique de la médecine libérale : la dynamique </w:t>
      </w:r>
      <w:r>
        <w:rPr>
          <w:i/>
          <w:iCs/>
        </w:rPr>
        <w:t>« soutenue »</w:t>
      </w:r>
      <w:r>
        <w:t xml:space="preserve"> des rémunérations forfaitaires (très majoritairement en médecine générale). Le forfait patientèle médecin traitant (FPMT), les rémunérations sur objectifs de santé publique (</w:t>
      </w:r>
      <w:proofErr w:type="spellStart"/>
      <w:r>
        <w:t>Rosp</w:t>
      </w:r>
      <w:proofErr w:type="spellEnd"/>
      <w:r>
        <w:t xml:space="preserve">), le forfait structure et les divers contrats démographiques — </w:t>
      </w:r>
      <w:r>
        <w:lastRenderedPageBreak/>
        <w:t>ont progressé dans leur ensemble de plus de 10 %, avec 2,47 milliards d'euros contre 2,24 milliards en 2024.</w:t>
      </w:r>
    </w:p>
    <w:p w14:paraId="6E3C3D3C" w14:textId="77777777" w:rsidR="00CC2551" w:rsidRDefault="00CC2551" w:rsidP="00CC2551">
      <w:pPr>
        <w:pStyle w:val="m-3427299587549730044componentbody"/>
      </w:pPr>
      <w:r>
        <w:t>Certains postes ont connu des évolutions spectaculaires. Les forfaits structures ont bondi de 25,4 %, les divers contrats démographiques de 23,2 %, et les dotations aux CPTS de 14,2 %. Ces chiffres traduisent aussi la montée en puissance de l'exercice coordonné en matière de soins de ville et la diffusion d'un modèle où la rémunération ne dépend plus exclusivement de l'acte.</w:t>
      </w:r>
    </w:p>
    <w:p w14:paraId="180609EE" w14:textId="77777777" w:rsidR="00CC2551" w:rsidRDefault="00CC2551" w:rsidP="00CC2551">
      <w:pPr>
        <w:pStyle w:val="m-3427299587549730044componentbody"/>
      </w:pPr>
      <w:r>
        <w:t>Certes, recadre le rapport de la commission des comptes, les forfaits ne représentent en 2025 que 2 % des dépenses totales de soins de ville. Il s’agit toujours d’une part modeste en valeur absolue mais qui affiche un taux de croissance annuel moyen de près de 10 % depuis 2019, soit plus du double de celui de l’évolution des honoraires à l’acte (4,1 %).</w:t>
      </w:r>
    </w:p>
    <w:p w14:paraId="3AB7AEED" w14:textId="77777777" w:rsidR="00CC2551" w:rsidRDefault="00CC2551" w:rsidP="00CC2551">
      <w:pPr>
        <w:pStyle w:val="m-3427299587549730044componentbody"/>
      </w:pPr>
      <w:r>
        <w:t>Cette transformation s'inscrit dans un contexte budgétaire tendu. Le sous-objectif des soins de ville reste le seul de l’enveloppe globale annuelle de dépenses maladie (</w:t>
      </w:r>
      <w:proofErr w:type="spellStart"/>
      <w:r>
        <w:t>Ondam</w:t>
      </w:r>
      <w:proofErr w:type="spellEnd"/>
      <w:r>
        <w:t xml:space="preserve">) qui ne dispose pas de mise en réserve de précaution — une singularité que le comité d'alerte sur les dépenses maladie </w:t>
      </w:r>
      <w:hyperlink r:id="rId5" w:tgtFrame="_blank" w:history="1">
        <w:r>
          <w:rPr>
            <w:rStyle w:val="Lienhypertexte"/>
          </w:rPr>
          <w:t>surveille</w:t>
        </w:r>
      </w:hyperlink>
      <w:r>
        <w:t xml:space="preserve"> depuis plusieurs années. Pour 2026, un risque de dépassement de l'ordre de 300 millions d'euros est identifié, principalement lié aux dépenses d’indemnités journalières.</w:t>
      </w:r>
    </w:p>
    <w:p w14:paraId="33BE8E2B" w14:textId="77777777" w:rsidR="00CC2551" w:rsidRDefault="00CC2551" w:rsidP="00CC2551">
      <w:pPr>
        <w:pStyle w:val="Titre2"/>
        <w:rPr>
          <w:rFonts w:eastAsia="Times New Roman"/>
        </w:rPr>
      </w:pPr>
      <w:r>
        <w:rPr>
          <w:rFonts w:eastAsia="Times New Roman"/>
        </w:rPr>
        <w:t>IJ de longue durée : la flambée continue</w:t>
      </w:r>
    </w:p>
    <w:p w14:paraId="3060D9D2" w14:textId="77777777" w:rsidR="00CC2551" w:rsidRDefault="00CC2551" w:rsidP="00CC2551">
      <w:pPr>
        <w:pStyle w:val="m-3427299587549730044componentbody"/>
      </w:pPr>
      <w:r>
        <w:t>Si les indemnités journalières (IJ) ont décéléré en 2025 (+ 5,1 %, - 3 points par rapport à 2024), cette relative modération masque des dynamiques très contrastées. Les IJ de plus de trois mois ont encore progressé de 7,2 % en 2025 (après + 9,2 % en 2024), et les IJ liées aux AT-MP de 11,5 % (après + 11 % en 2024). Ces deux postes représentent respectivement 29 % et 34 % des dépenses totales d'IJ et contribuent pour six points à leur croissance globale. En volume — c'est-à-dire en augmentation du nombre d'arrêts, indépendamment de leur coût unitaire — les IJ continuent de progresser de 4,9 % en 2025, tous types d'arrêts confondus.</w:t>
      </w:r>
    </w:p>
    <w:p w14:paraId="0E910ABC" w14:textId="77777777" w:rsidR="00CC2551" w:rsidRDefault="00CC2551" w:rsidP="00CC2551">
      <w:pPr>
        <w:pStyle w:val="m-3427299587549730044componentbody"/>
      </w:pPr>
      <w:r>
        <w:t>Au total, les dépenses d'IJ ont représenté 16,5 milliards d'euros en 2025 (versus 15,6 milliards en 2024).</w:t>
      </w:r>
    </w:p>
    <w:p w14:paraId="6D557FAC" w14:textId="77777777" w:rsidR="00CC2551" w:rsidRDefault="00CC2551" w:rsidP="00CC2551">
      <w:pPr>
        <w:jc w:val="center"/>
        <w:rPr>
          <w:rFonts w:eastAsia="Times New Roman"/>
        </w:rPr>
      </w:pPr>
      <w:r>
        <w:rPr>
          <w:rFonts w:eastAsia="Times New Roman"/>
        </w:rPr>
        <w:pict w14:anchorId="3E9C2DDD">
          <v:rect id="_x0000_i1026" style="width:470.3pt;height:.75pt" o:hralign="center" o:hrstd="t" o:hr="t" fillcolor="#a0a0a0" stroked="f"/>
        </w:pict>
      </w:r>
    </w:p>
    <w:p w14:paraId="040FDE3A" w14:textId="77777777" w:rsidR="00CC2551" w:rsidRDefault="00CC2551" w:rsidP="00CC2551">
      <w:pPr>
        <w:spacing w:before="100" w:beforeAutospacing="1" w:after="100" w:afterAutospacing="1"/>
      </w:pPr>
      <w:r>
        <w:t xml:space="preserve">Source : </w:t>
      </w:r>
      <w:hyperlink r:id="rId6" w:tgtFrame="_blank" w:history="1">
        <w:r>
          <w:rPr>
            <w:rStyle w:val="Lienhypertexte"/>
          </w:rPr>
          <w:t>lequotidiendumedecin.fr</w:t>
        </w:r>
      </w:hyperlink>
      <w:r>
        <w:t xml:space="preserve"> </w:t>
      </w:r>
    </w:p>
    <w:p w14:paraId="6FCD0A8B" w14:textId="77777777" w:rsidR="00CC2551" w:rsidRDefault="00CC2551" w:rsidP="00CC2551">
      <w:pPr>
        <w:spacing w:before="100" w:beforeAutospacing="1" w:after="100" w:afterAutospacing="1"/>
      </w:pPr>
      <w:r>
        <w:rPr>
          <w:color w:val="0F4761"/>
          <w:sz w:val="22"/>
          <w:szCs w:val="22"/>
        </w:rPr>
        <w:t> </w:t>
      </w:r>
    </w:p>
    <w:p w14:paraId="7257B714" w14:textId="77777777" w:rsidR="0004125F" w:rsidRDefault="0004125F"/>
    <w:sectPr w:rsidR="000412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551"/>
    <w:rsid w:val="0004125F"/>
    <w:rsid w:val="001C2482"/>
    <w:rsid w:val="00BE0127"/>
    <w:rsid w:val="00CC25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4FF41"/>
  <w15:chartTrackingRefBased/>
  <w15:docId w15:val="{4E2F6D9D-2CA2-42DA-B443-351AECBFD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551"/>
    <w:pPr>
      <w:spacing w:after="0" w:line="240" w:lineRule="auto"/>
    </w:pPr>
    <w:rPr>
      <w:rFonts w:ascii="Aptos" w:hAnsi="Aptos" w:cs="Aptos"/>
      <w:sz w:val="24"/>
      <w:szCs w:val="24"/>
      <w:lang w:eastAsia="fr-FR"/>
    </w:rPr>
  </w:style>
  <w:style w:type="paragraph" w:styleId="Titre1">
    <w:name w:val="heading 1"/>
    <w:basedOn w:val="Normal"/>
    <w:next w:val="Normal"/>
    <w:link w:val="Titre1Car"/>
    <w:uiPriority w:val="9"/>
    <w:qFormat/>
    <w:rsid w:val="00CC2551"/>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fr-029" w:eastAsia="en-US"/>
    </w:rPr>
  </w:style>
  <w:style w:type="paragraph" w:styleId="Titre2">
    <w:name w:val="heading 2"/>
    <w:basedOn w:val="Normal"/>
    <w:next w:val="Normal"/>
    <w:link w:val="Titre2Car"/>
    <w:uiPriority w:val="9"/>
    <w:semiHidden/>
    <w:unhideWhenUsed/>
    <w:qFormat/>
    <w:rsid w:val="00CC2551"/>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fr-029" w:eastAsia="en-US"/>
    </w:rPr>
  </w:style>
  <w:style w:type="paragraph" w:styleId="Titre3">
    <w:name w:val="heading 3"/>
    <w:basedOn w:val="Normal"/>
    <w:next w:val="Normal"/>
    <w:link w:val="Titre3Car"/>
    <w:uiPriority w:val="9"/>
    <w:semiHidden/>
    <w:unhideWhenUsed/>
    <w:qFormat/>
    <w:rsid w:val="00CC2551"/>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val="fr-029" w:eastAsia="en-US"/>
    </w:rPr>
  </w:style>
  <w:style w:type="paragraph" w:styleId="Titre4">
    <w:name w:val="heading 4"/>
    <w:basedOn w:val="Normal"/>
    <w:next w:val="Normal"/>
    <w:link w:val="Titre4Car"/>
    <w:uiPriority w:val="9"/>
    <w:semiHidden/>
    <w:unhideWhenUsed/>
    <w:qFormat/>
    <w:rsid w:val="00CC2551"/>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val="fr-029" w:eastAsia="en-US"/>
    </w:rPr>
  </w:style>
  <w:style w:type="paragraph" w:styleId="Titre5">
    <w:name w:val="heading 5"/>
    <w:basedOn w:val="Normal"/>
    <w:next w:val="Normal"/>
    <w:link w:val="Titre5Car"/>
    <w:uiPriority w:val="9"/>
    <w:semiHidden/>
    <w:unhideWhenUsed/>
    <w:qFormat/>
    <w:rsid w:val="00CC2551"/>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val="fr-029" w:eastAsia="en-US"/>
    </w:rPr>
  </w:style>
  <w:style w:type="paragraph" w:styleId="Titre6">
    <w:name w:val="heading 6"/>
    <w:basedOn w:val="Normal"/>
    <w:next w:val="Normal"/>
    <w:link w:val="Titre6Car"/>
    <w:uiPriority w:val="9"/>
    <w:semiHidden/>
    <w:unhideWhenUsed/>
    <w:qFormat/>
    <w:rsid w:val="00CC2551"/>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fr-029" w:eastAsia="en-US"/>
    </w:rPr>
  </w:style>
  <w:style w:type="paragraph" w:styleId="Titre7">
    <w:name w:val="heading 7"/>
    <w:basedOn w:val="Normal"/>
    <w:next w:val="Normal"/>
    <w:link w:val="Titre7Car"/>
    <w:uiPriority w:val="9"/>
    <w:semiHidden/>
    <w:unhideWhenUsed/>
    <w:qFormat/>
    <w:rsid w:val="00CC2551"/>
    <w:pPr>
      <w:keepNext/>
      <w:keepLines/>
      <w:spacing w:before="40" w:line="259" w:lineRule="auto"/>
      <w:outlineLvl w:val="6"/>
    </w:pPr>
    <w:rPr>
      <w:rFonts w:asciiTheme="minorHAnsi" w:eastAsiaTheme="majorEastAsia" w:hAnsiTheme="minorHAnsi" w:cstheme="majorBidi"/>
      <w:color w:val="595959" w:themeColor="text1" w:themeTint="A6"/>
      <w:sz w:val="22"/>
      <w:szCs w:val="22"/>
      <w:lang w:val="fr-029" w:eastAsia="en-US"/>
    </w:rPr>
  </w:style>
  <w:style w:type="paragraph" w:styleId="Titre8">
    <w:name w:val="heading 8"/>
    <w:basedOn w:val="Normal"/>
    <w:next w:val="Normal"/>
    <w:link w:val="Titre8Car"/>
    <w:uiPriority w:val="9"/>
    <w:semiHidden/>
    <w:unhideWhenUsed/>
    <w:qFormat/>
    <w:rsid w:val="00CC2551"/>
    <w:pPr>
      <w:keepNext/>
      <w:keepLines/>
      <w:spacing w:line="259" w:lineRule="auto"/>
      <w:outlineLvl w:val="7"/>
    </w:pPr>
    <w:rPr>
      <w:rFonts w:asciiTheme="minorHAnsi" w:eastAsiaTheme="majorEastAsia" w:hAnsiTheme="minorHAnsi" w:cstheme="majorBidi"/>
      <w:i/>
      <w:iCs/>
      <w:color w:val="272727" w:themeColor="text1" w:themeTint="D8"/>
      <w:sz w:val="22"/>
      <w:szCs w:val="22"/>
      <w:lang w:val="fr-029" w:eastAsia="en-US"/>
    </w:rPr>
  </w:style>
  <w:style w:type="paragraph" w:styleId="Titre9">
    <w:name w:val="heading 9"/>
    <w:basedOn w:val="Normal"/>
    <w:next w:val="Normal"/>
    <w:link w:val="Titre9Car"/>
    <w:uiPriority w:val="9"/>
    <w:semiHidden/>
    <w:unhideWhenUsed/>
    <w:qFormat/>
    <w:rsid w:val="00CC2551"/>
    <w:pPr>
      <w:keepNext/>
      <w:keepLines/>
      <w:spacing w:line="259" w:lineRule="auto"/>
      <w:outlineLvl w:val="8"/>
    </w:pPr>
    <w:rPr>
      <w:rFonts w:asciiTheme="minorHAnsi" w:eastAsiaTheme="majorEastAsia" w:hAnsiTheme="minorHAnsi" w:cstheme="majorBidi"/>
      <w:color w:val="272727" w:themeColor="text1" w:themeTint="D8"/>
      <w:sz w:val="22"/>
      <w:szCs w:val="22"/>
      <w:lang w:val="fr-029"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C2551"/>
    <w:rPr>
      <w:rFonts w:asciiTheme="majorHAnsi" w:eastAsiaTheme="majorEastAsia" w:hAnsiTheme="majorHAnsi" w:cstheme="majorBidi"/>
      <w:color w:val="0F4761" w:themeColor="accent1" w:themeShade="BF"/>
      <w:sz w:val="40"/>
      <w:szCs w:val="40"/>
      <w:lang w:val="fr-029"/>
    </w:rPr>
  </w:style>
  <w:style w:type="character" w:customStyle="1" w:styleId="Titre2Car">
    <w:name w:val="Titre 2 Car"/>
    <w:basedOn w:val="Policepardfaut"/>
    <w:link w:val="Titre2"/>
    <w:uiPriority w:val="9"/>
    <w:semiHidden/>
    <w:rsid w:val="00CC2551"/>
    <w:rPr>
      <w:rFonts w:asciiTheme="majorHAnsi" w:eastAsiaTheme="majorEastAsia" w:hAnsiTheme="majorHAnsi" w:cstheme="majorBidi"/>
      <w:color w:val="0F4761" w:themeColor="accent1" w:themeShade="BF"/>
      <w:sz w:val="32"/>
      <w:szCs w:val="32"/>
      <w:lang w:val="fr-029"/>
    </w:rPr>
  </w:style>
  <w:style w:type="character" w:customStyle="1" w:styleId="Titre3Car">
    <w:name w:val="Titre 3 Car"/>
    <w:basedOn w:val="Policepardfaut"/>
    <w:link w:val="Titre3"/>
    <w:uiPriority w:val="9"/>
    <w:semiHidden/>
    <w:rsid w:val="00CC2551"/>
    <w:rPr>
      <w:rFonts w:eastAsiaTheme="majorEastAsia" w:cstheme="majorBidi"/>
      <w:color w:val="0F4761" w:themeColor="accent1" w:themeShade="BF"/>
      <w:sz w:val="28"/>
      <w:szCs w:val="28"/>
      <w:lang w:val="fr-029"/>
    </w:rPr>
  </w:style>
  <w:style w:type="character" w:customStyle="1" w:styleId="Titre4Car">
    <w:name w:val="Titre 4 Car"/>
    <w:basedOn w:val="Policepardfaut"/>
    <w:link w:val="Titre4"/>
    <w:uiPriority w:val="9"/>
    <w:semiHidden/>
    <w:rsid w:val="00CC2551"/>
    <w:rPr>
      <w:rFonts w:eastAsiaTheme="majorEastAsia" w:cstheme="majorBidi"/>
      <w:i/>
      <w:iCs/>
      <w:color w:val="0F4761" w:themeColor="accent1" w:themeShade="BF"/>
      <w:lang w:val="fr-029"/>
    </w:rPr>
  </w:style>
  <w:style w:type="character" w:customStyle="1" w:styleId="Titre5Car">
    <w:name w:val="Titre 5 Car"/>
    <w:basedOn w:val="Policepardfaut"/>
    <w:link w:val="Titre5"/>
    <w:uiPriority w:val="9"/>
    <w:semiHidden/>
    <w:rsid w:val="00CC2551"/>
    <w:rPr>
      <w:rFonts w:eastAsiaTheme="majorEastAsia" w:cstheme="majorBidi"/>
      <w:color w:val="0F4761" w:themeColor="accent1" w:themeShade="BF"/>
      <w:lang w:val="fr-029"/>
    </w:rPr>
  </w:style>
  <w:style w:type="character" w:customStyle="1" w:styleId="Titre6Car">
    <w:name w:val="Titre 6 Car"/>
    <w:basedOn w:val="Policepardfaut"/>
    <w:link w:val="Titre6"/>
    <w:uiPriority w:val="9"/>
    <w:semiHidden/>
    <w:rsid w:val="00CC2551"/>
    <w:rPr>
      <w:rFonts w:eastAsiaTheme="majorEastAsia" w:cstheme="majorBidi"/>
      <w:i/>
      <w:iCs/>
      <w:color w:val="595959" w:themeColor="text1" w:themeTint="A6"/>
      <w:lang w:val="fr-029"/>
    </w:rPr>
  </w:style>
  <w:style w:type="character" w:customStyle="1" w:styleId="Titre7Car">
    <w:name w:val="Titre 7 Car"/>
    <w:basedOn w:val="Policepardfaut"/>
    <w:link w:val="Titre7"/>
    <w:uiPriority w:val="9"/>
    <w:semiHidden/>
    <w:rsid w:val="00CC2551"/>
    <w:rPr>
      <w:rFonts w:eastAsiaTheme="majorEastAsia" w:cstheme="majorBidi"/>
      <w:color w:val="595959" w:themeColor="text1" w:themeTint="A6"/>
      <w:lang w:val="fr-029"/>
    </w:rPr>
  </w:style>
  <w:style w:type="character" w:customStyle="1" w:styleId="Titre8Car">
    <w:name w:val="Titre 8 Car"/>
    <w:basedOn w:val="Policepardfaut"/>
    <w:link w:val="Titre8"/>
    <w:uiPriority w:val="9"/>
    <w:semiHidden/>
    <w:rsid w:val="00CC2551"/>
    <w:rPr>
      <w:rFonts w:eastAsiaTheme="majorEastAsia" w:cstheme="majorBidi"/>
      <w:i/>
      <w:iCs/>
      <w:color w:val="272727" w:themeColor="text1" w:themeTint="D8"/>
      <w:lang w:val="fr-029"/>
    </w:rPr>
  </w:style>
  <w:style w:type="character" w:customStyle="1" w:styleId="Titre9Car">
    <w:name w:val="Titre 9 Car"/>
    <w:basedOn w:val="Policepardfaut"/>
    <w:link w:val="Titre9"/>
    <w:uiPriority w:val="9"/>
    <w:semiHidden/>
    <w:rsid w:val="00CC2551"/>
    <w:rPr>
      <w:rFonts w:eastAsiaTheme="majorEastAsia" w:cstheme="majorBidi"/>
      <w:color w:val="272727" w:themeColor="text1" w:themeTint="D8"/>
      <w:lang w:val="fr-029"/>
    </w:rPr>
  </w:style>
  <w:style w:type="paragraph" w:styleId="Titre">
    <w:name w:val="Title"/>
    <w:basedOn w:val="Normal"/>
    <w:next w:val="Normal"/>
    <w:link w:val="TitreCar"/>
    <w:uiPriority w:val="10"/>
    <w:qFormat/>
    <w:rsid w:val="00CC2551"/>
    <w:pPr>
      <w:spacing w:after="80"/>
      <w:contextualSpacing/>
    </w:pPr>
    <w:rPr>
      <w:rFonts w:asciiTheme="majorHAnsi" w:eastAsiaTheme="majorEastAsia" w:hAnsiTheme="majorHAnsi" w:cstheme="majorBidi"/>
      <w:spacing w:val="-10"/>
      <w:kern w:val="28"/>
      <w:sz w:val="56"/>
      <w:szCs w:val="56"/>
      <w:lang w:val="fr-029" w:eastAsia="en-US"/>
    </w:rPr>
  </w:style>
  <w:style w:type="character" w:customStyle="1" w:styleId="TitreCar">
    <w:name w:val="Titre Car"/>
    <w:basedOn w:val="Policepardfaut"/>
    <w:link w:val="Titre"/>
    <w:uiPriority w:val="10"/>
    <w:rsid w:val="00CC2551"/>
    <w:rPr>
      <w:rFonts w:asciiTheme="majorHAnsi" w:eastAsiaTheme="majorEastAsia" w:hAnsiTheme="majorHAnsi" w:cstheme="majorBidi"/>
      <w:spacing w:val="-10"/>
      <w:kern w:val="28"/>
      <w:sz w:val="56"/>
      <w:szCs w:val="56"/>
      <w:lang w:val="fr-029"/>
    </w:rPr>
  </w:style>
  <w:style w:type="paragraph" w:styleId="Sous-titre">
    <w:name w:val="Subtitle"/>
    <w:basedOn w:val="Normal"/>
    <w:next w:val="Normal"/>
    <w:link w:val="Sous-titreCar"/>
    <w:uiPriority w:val="11"/>
    <w:qFormat/>
    <w:rsid w:val="00CC2551"/>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fr-029" w:eastAsia="en-US"/>
    </w:rPr>
  </w:style>
  <w:style w:type="character" w:customStyle="1" w:styleId="Sous-titreCar">
    <w:name w:val="Sous-titre Car"/>
    <w:basedOn w:val="Policepardfaut"/>
    <w:link w:val="Sous-titre"/>
    <w:uiPriority w:val="11"/>
    <w:rsid w:val="00CC2551"/>
    <w:rPr>
      <w:rFonts w:eastAsiaTheme="majorEastAsia" w:cstheme="majorBidi"/>
      <w:color w:val="595959" w:themeColor="text1" w:themeTint="A6"/>
      <w:spacing w:val="15"/>
      <w:sz w:val="28"/>
      <w:szCs w:val="28"/>
      <w:lang w:val="fr-029"/>
    </w:rPr>
  </w:style>
  <w:style w:type="paragraph" w:styleId="Citation">
    <w:name w:val="Quote"/>
    <w:basedOn w:val="Normal"/>
    <w:next w:val="Normal"/>
    <w:link w:val="CitationCar"/>
    <w:uiPriority w:val="29"/>
    <w:qFormat/>
    <w:rsid w:val="00CC2551"/>
    <w:pPr>
      <w:spacing w:before="160" w:after="160" w:line="259" w:lineRule="auto"/>
      <w:jc w:val="center"/>
    </w:pPr>
    <w:rPr>
      <w:rFonts w:asciiTheme="minorHAnsi" w:hAnsiTheme="minorHAnsi" w:cstheme="minorBidi"/>
      <w:i/>
      <w:iCs/>
      <w:color w:val="404040" w:themeColor="text1" w:themeTint="BF"/>
      <w:sz w:val="22"/>
      <w:szCs w:val="22"/>
      <w:lang w:val="fr-029" w:eastAsia="en-US"/>
    </w:rPr>
  </w:style>
  <w:style w:type="character" w:customStyle="1" w:styleId="CitationCar">
    <w:name w:val="Citation Car"/>
    <w:basedOn w:val="Policepardfaut"/>
    <w:link w:val="Citation"/>
    <w:uiPriority w:val="29"/>
    <w:rsid w:val="00CC2551"/>
    <w:rPr>
      <w:i/>
      <w:iCs/>
      <w:color w:val="404040" w:themeColor="text1" w:themeTint="BF"/>
      <w:lang w:val="fr-029"/>
    </w:rPr>
  </w:style>
  <w:style w:type="paragraph" w:styleId="Paragraphedeliste">
    <w:name w:val="List Paragraph"/>
    <w:basedOn w:val="Normal"/>
    <w:uiPriority w:val="34"/>
    <w:qFormat/>
    <w:rsid w:val="00CC2551"/>
    <w:pPr>
      <w:spacing w:after="160" w:line="259" w:lineRule="auto"/>
      <w:ind w:left="720"/>
      <w:contextualSpacing/>
    </w:pPr>
    <w:rPr>
      <w:rFonts w:asciiTheme="minorHAnsi" w:hAnsiTheme="minorHAnsi" w:cstheme="minorBidi"/>
      <w:sz w:val="22"/>
      <w:szCs w:val="22"/>
      <w:lang w:val="fr-029" w:eastAsia="en-US"/>
    </w:rPr>
  </w:style>
  <w:style w:type="character" w:styleId="Accentuationintense">
    <w:name w:val="Intense Emphasis"/>
    <w:basedOn w:val="Policepardfaut"/>
    <w:uiPriority w:val="21"/>
    <w:qFormat/>
    <w:rsid w:val="00CC2551"/>
    <w:rPr>
      <w:i/>
      <w:iCs/>
      <w:color w:val="0F4761" w:themeColor="accent1" w:themeShade="BF"/>
    </w:rPr>
  </w:style>
  <w:style w:type="paragraph" w:styleId="Citationintense">
    <w:name w:val="Intense Quote"/>
    <w:basedOn w:val="Normal"/>
    <w:next w:val="Normal"/>
    <w:link w:val="CitationintenseCar"/>
    <w:uiPriority w:val="30"/>
    <w:qFormat/>
    <w:rsid w:val="00CC255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sz w:val="22"/>
      <w:szCs w:val="22"/>
      <w:lang w:val="fr-029" w:eastAsia="en-US"/>
    </w:rPr>
  </w:style>
  <w:style w:type="character" w:customStyle="1" w:styleId="CitationintenseCar">
    <w:name w:val="Citation intense Car"/>
    <w:basedOn w:val="Policepardfaut"/>
    <w:link w:val="Citationintense"/>
    <w:uiPriority w:val="30"/>
    <w:rsid w:val="00CC2551"/>
    <w:rPr>
      <w:i/>
      <w:iCs/>
      <w:color w:val="0F4761" w:themeColor="accent1" w:themeShade="BF"/>
      <w:lang w:val="fr-029"/>
    </w:rPr>
  </w:style>
  <w:style w:type="character" w:styleId="Rfrenceintense">
    <w:name w:val="Intense Reference"/>
    <w:basedOn w:val="Policepardfaut"/>
    <w:uiPriority w:val="32"/>
    <w:qFormat/>
    <w:rsid w:val="00CC2551"/>
    <w:rPr>
      <w:b/>
      <w:bCs/>
      <w:smallCaps/>
      <w:color w:val="0F4761" w:themeColor="accent1" w:themeShade="BF"/>
      <w:spacing w:val="5"/>
    </w:rPr>
  </w:style>
  <w:style w:type="character" w:styleId="Lienhypertexte">
    <w:name w:val="Hyperlink"/>
    <w:basedOn w:val="Policepardfaut"/>
    <w:uiPriority w:val="99"/>
    <w:semiHidden/>
    <w:unhideWhenUsed/>
    <w:rsid w:val="00CC2551"/>
    <w:rPr>
      <w:color w:val="0000FF"/>
      <w:u w:val="single"/>
    </w:rPr>
  </w:style>
  <w:style w:type="paragraph" w:styleId="NormalWeb">
    <w:name w:val="Normal (Web)"/>
    <w:basedOn w:val="Normal"/>
    <w:uiPriority w:val="99"/>
    <w:semiHidden/>
    <w:unhideWhenUsed/>
    <w:rsid w:val="00CC2551"/>
    <w:pPr>
      <w:spacing w:before="100" w:beforeAutospacing="1" w:after="100" w:afterAutospacing="1"/>
    </w:pPr>
  </w:style>
  <w:style w:type="paragraph" w:customStyle="1" w:styleId="m-3427299587549730044componentbody">
    <w:name w:val="m_-3427299587549730044componentbody"/>
    <w:basedOn w:val="Normal"/>
    <w:uiPriority w:val="99"/>
    <w:semiHidden/>
    <w:rsid w:val="00CC255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quotidiendumedecin.fr" TargetMode="External"/><Relationship Id="rId5" Type="http://schemas.openxmlformats.org/officeDocument/2006/relationships/hyperlink" Target="https://www.lequotidiendumedecin.fr/sante-societe/politique-de-sante/derapage-de-londam-2026-le-comite-dalerte-pointe-un-risque-sur-les-soins-de-ville-mais-ne-sonne-pas" TargetMode="External"/><Relationship Id="rId4" Type="http://schemas.openxmlformats.org/officeDocument/2006/relationships/hyperlink" Target="https://www.lequotidiendumedecin.fr/taxonomy/term/123192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798</Words>
  <Characters>4391</Characters>
  <Application>Microsoft Office Word</Application>
  <DocSecurity>0</DocSecurity>
  <Lines>36</Lines>
  <Paragraphs>10</Paragraphs>
  <ScaleCrop>false</ScaleCrop>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 Généralistes CSMF</dc:creator>
  <cp:keywords/>
  <dc:description/>
  <cp:lastModifiedBy>Les Généralistes CSMF</cp:lastModifiedBy>
  <cp:revision>2</cp:revision>
  <dcterms:created xsi:type="dcterms:W3CDTF">2026-06-01T12:22:00Z</dcterms:created>
  <dcterms:modified xsi:type="dcterms:W3CDTF">2026-06-01T12:25:00Z</dcterms:modified>
</cp:coreProperties>
</file>